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80055A" w14:textId="77777777" w:rsidR="000534D9" w:rsidRPr="005F432E" w:rsidRDefault="000534D9" w:rsidP="000534D9">
      <w:pPr>
        <w:rPr>
          <w:b/>
          <w:bCs/>
          <w:sz w:val="40"/>
          <w:szCs w:val="40"/>
          <w:rtl/>
        </w:rPr>
      </w:pPr>
      <w:r w:rsidRPr="006D1776">
        <w:rPr>
          <w:rFonts w:hint="cs"/>
          <w:b/>
          <w:bCs/>
          <w:color w:val="0070C0"/>
          <w:sz w:val="40"/>
          <w:szCs w:val="40"/>
          <w:rtl/>
        </w:rPr>
        <w:t xml:space="preserve">المملكة العربية السعودية                              </w:t>
      </w:r>
      <w:r>
        <w:rPr>
          <w:noProof/>
        </w:rPr>
        <w:drawing>
          <wp:inline distT="0" distB="0" distL="0" distR="0" wp14:anchorId="445AA99B" wp14:editId="65298403">
            <wp:extent cx="1762125" cy="1489532"/>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2144" cy="1523360"/>
                    </a:xfrm>
                    <a:prstGeom prst="rect">
                      <a:avLst/>
                    </a:prstGeom>
                    <a:noFill/>
                    <a:ln>
                      <a:noFill/>
                    </a:ln>
                  </pic:spPr>
                </pic:pic>
              </a:graphicData>
            </a:graphic>
          </wp:inline>
        </w:drawing>
      </w:r>
    </w:p>
    <w:p w14:paraId="3E59F1BC" w14:textId="77777777" w:rsidR="000534D9" w:rsidRPr="006D1776" w:rsidRDefault="000534D9" w:rsidP="000534D9">
      <w:pPr>
        <w:rPr>
          <w:b/>
          <w:bCs/>
          <w:color w:val="0070C0"/>
          <w:sz w:val="40"/>
          <w:szCs w:val="40"/>
          <w:rtl/>
        </w:rPr>
      </w:pPr>
      <w:r w:rsidRPr="005F432E">
        <w:rPr>
          <w:rFonts w:hint="cs"/>
          <w:b/>
          <w:bCs/>
          <w:sz w:val="40"/>
          <w:szCs w:val="40"/>
          <w:rtl/>
        </w:rPr>
        <w:t xml:space="preserve">  </w:t>
      </w:r>
      <w:r>
        <w:rPr>
          <w:rFonts w:hint="cs"/>
          <w:b/>
          <w:bCs/>
          <w:sz w:val="40"/>
          <w:szCs w:val="40"/>
          <w:rtl/>
        </w:rPr>
        <w:t xml:space="preserve">  </w:t>
      </w:r>
      <w:r w:rsidRPr="005F432E">
        <w:rPr>
          <w:rFonts w:hint="cs"/>
          <w:b/>
          <w:bCs/>
          <w:sz w:val="40"/>
          <w:szCs w:val="40"/>
          <w:rtl/>
        </w:rPr>
        <w:t xml:space="preserve"> </w:t>
      </w:r>
      <w:r w:rsidRPr="006D1776">
        <w:rPr>
          <w:rFonts w:hint="cs"/>
          <w:b/>
          <w:bCs/>
          <w:color w:val="0070C0"/>
          <w:sz w:val="40"/>
          <w:szCs w:val="40"/>
          <w:rtl/>
        </w:rPr>
        <w:t xml:space="preserve">وزارة التعليم                                       </w:t>
      </w:r>
    </w:p>
    <w:p w14:paraId="1B9BA14D" w14:textId="77777777" w:rsidR="000534D9" w:rsidRPr="006D1776" w:rsidRDefault="000534D9" w:rsidP="000534D9">
      <w:pPr>
        <w:rPr>
          <w:b/>
          <w:bCs/>
          <w:color w:val="0070C0"/>
          <w:sz w:val="40"/>
          <w:szCs w:val="40"/>
          <w:rtl/>
        </w:rPr>
      </w:pPr>
      <w:r w:rsidRPr="006D1776">
        <w:rPr>
          <w:rFonts w:hint="cs"/>
          <w:b/>
          <w:bCs/>
          <w:color w:val="0070C0"/>
          <w:sz w:val="40"/>
          <w:szCs w:val="40"/>
          <w:rtl/>
        </w:rPr>
        <w:t xml:space="preserve">     كليات الخليج</w:t>
      </w:r>
    </w:p>
    <w:p w14:paraId="3C87BEF2" w14:textId="77777777" w:rsidR="000534D9" w:rsidRPr="006D1776" w:rsidRDefault="000534D9" w:rsidP="000534D9">
      <w:pPr>
        <w:shd w:val="clear" w:color="auto" w:fill="FFFFFF"/>
        <w:bidi w:val="0"/>
        <w:spacing w:before="100" w:beforeAutospacing="1" w:after="100" w:afterAutospacing="1" w:line="240" w:lineRule="auto"/>
        <w:jc w:val="right"/>
        <w:outlineLvl w:val="2"/>
        <w:rPr>
          <w:rFonts w:ascii="var(--secondary-font)" w:eastAsia="Times New Roman" w:hAnsi="var(--secondary-font)" w:cs="Times New Roman"/>
          <w:b/>
          <w:bCs/>
          <w:color w:val="0070C0"/>
          <w:kern w:val="0"/>
          <w:sz w:val="40"/>
          <w:szCs w:val="40"/>
          <w14:ligatures w14:val="none"/>
        </w:rPr>
      </w:pPr>
      <w:r w:rsidRPr="006D1776">
        <w:rPr>
          <w:rFonts w:ascii="var(--secondary-font)" w:eastAsia="Times New Roman" w:hAnsi="var(--secondary-font)" w:cs="Times New Roman"/>
          <w:b/>
          <w:bCs/>
          <w:color w:val="0070C0"/>
          <w:kern w:val="0"/>
          <w:sz w:val="40"/>
          <w:szCs w:val="40"/>
          <w:rtl/>
          <w14:ligatures w14:val="none"/>
        </w:rPr>
        <w:t>وكالة الدراسات العليا والبحث العلمي</w:t>
      </w:r>
    </w:p>
    <w:p w14:paraId="3EB517B1" w14:textId="77777777" w:rsidR="000534D9" w:rsidRPr="006D1776" w:rsidRDefault="000534D9" w:rsidP="000534D9">
      <w:pPr>
        <w:rPr>
          <w:b/>
          <w:bCs/>
          <w:color w:val="0070C0"/>
          <w:sz w:val="40"/>
          <w:szCs w:val="40"/>
          <w:rtl/>
        </w:rPr>
      </w:pPr>
      <w:r w:rsidRPr="006D1776">
        <w:rPr>
          <w:rFonts w:hint="cs"/>
          <w:b/>
          <w:bCs/>
          <w:color w:val="0070C0"/>
          <w:sz w:val="40"/>
          <w:szCs w:val="40"/>
          <w:rtl/>
        </w:rPr>
        <w:t xml:space="preserve">    قسم القانون</w:t>
      </w:r>
    </w:p>
    <w:p w14:paraId="6E0CE75D" w14:textId="77777777" w:rsidR="00C406BC" w:rsidRPr="00C406BC" w:rsidRDefault="00C406BC" w:rsidP="000534D9">
      <w:pPr>
        <w:spacing w:after="240" w:line="360" w:lineRule="auto"/>
        <w:rPr>
          <w:rFonts w:ascii="Traditional Arabic" w:hAnsi="Traditional Arabic" w:cs="Traditional Arabic"/>
          <w:sz w:val="40"/>
          <w:szCs w:val="40"/>
          <w:rtl/>
        </w:rPr>
      </w:pPr>
    </w:p>
    <w:p w14:paraId="325D1DD7" w14:textId="34A026B2" w:rsidR="00422B8B" w:rsidRPr="000534D9" w:rsidRDefault="005261EC" w:rsidP="00C406BC">
      <w:pPr>
        <w:shd w:val="clear" w:color="auto" w:fill="EDEDED" w:themeFill="accent3" w:themeFillTint="33"/>
        <w:spacing w:after="240" w:line="360" w:lineRule="auto"/>
        <w:jc w:val="center"/>
        <w:rPr>
          <w:rFonts w:ascii="Traditional Arabic" w:hAnsi="Traditional Arabic" w:cs="Traditional Arabic"/>
          <w:b/>
          <w:bCs/>
          <w:color w:val="0070C0"/>
          <w:sz w:val="72"/>
          <w:szCs w:val="72"/>
          <w:rtl/>
          <w:lang w:bidi="ar-EG"/>
        </w:rPr>
      </w:pPr>
      <w:r w:rsidRPr="000534D9">
        <w:rPr>
          <w:rFonts w:ascii="Traditional Arabic" w:hAnsi="Traditional Arabic" w:cs="Traditional Arabic"/>
          <w:b/>
          <w:bCs/>
          <w:color w:val="0070C0"/>
          <w:sz w:val="72"/>
          <w:szCs w:val="72"/>
          <w:rtl/>
          <w:lang w:bidi="ar-EG"/>
        </w:rPr>
        <w:t>التقادم في نظام المحاكم التجارية السعودية</w:t>
      </w:r>
    </w:p>
    <w:p w14:paraId="20BEE277" w14:textId="29AE0E74" w:rsidR="001F7BAE" w:rsidRPr="000534D9" w:rsidRDefault="001F7BAE" w:rsidP="000534D9">
      <w:pPr>
        <w:spacing w:after="120" w:line="240" w:lineRule="auto"/>
        <w:jc w:val="center"/>
        <w:rPr>
          <w:rFonts w:ascii="Traditional Arabic" w:hAnsi="Traditional Arabic" w:cs="Traditional Arabic"/>
          <w:b/>
          <w:bCs/>
          <w:color w:val="0070C0"/>
          <w:sz w:val="40"/>
          <w:szCs w:val="40"/>
          <w:rtl/>
          <w:lang w:bidi="ar-EG"/>
        </w:rPr>
      </w:pPr>
      <w:r w:rsidRPr="000534D9">
        <w:rPr>
          <w:rFonts w:ascii="Traditional Arabic" w:hAnsi="Traditional Arabic" w:cs="Traditional Arabic"/>
          <w:b/>
          <w:bCs/>
          <w:color w:val="0070C0"/>
          <w:sz w:val="40"/>
          <w:szCs w:val="40"/>
          <w:rtl/>
          <w:lang w:bidi="ar-EG"/>
        </w:rPr>
        <w:t xml:space="preserve">قدم هذا البحث استكمالا </w:t>
      </w:r>
      <w:r w:rsidR="009E3A5D" w:rsidRPr="000534D9">
        <w:rPr>
          <w:rFonts w:ascii="Traditional Arabic" w:hAnsi="Traditional Arabic" w:cs="Traditional Arabic" w:hint="cs"/>
          <w:b/>
          <w:bCs/>
          <w:color w:val="0070C0"/>
          <w:sz w:val="40"/>
          <w:szCs w:val="40"/>
          <w:rtl/>
          <w:lang w:bidi="ar-EG"/>
        </w:rPr>
        <w:t>لمتطلبا</w:t>
      </w:r>
      <w:r w:rsidR="009E3A5D" w:rsidRPr="000534D9">
        <w:rPr>
          <w:rFonts w:ascii="Traditional Arabic" w:hAnsi="Traditional Arabic" w:cs="Traditional Arabic" w:hint="eastAsia"/>
          <w:b/>
          <w:bCs/>
          <w:color w:val="0070C0"/>
          <w:sz w:val="40"/>
          <w:szCs w:val="40"/>
          <w:rtl/>
          <w:lang w:bidi="ar-EG"/>
        </w:rPr>
        <w:t>ت</w:t>
      </w:r>
      <w:r w:rsidRPr="000534D9">
        <w:rPr>
          <w:rFonts w:ascii="Traditional Arabic" w:hAnsi="Traditional Arabic" w:cs="Traditional Arabic"/>
          <w:b/>
          <w:bCs/>
          <w:color w:val="0070C0"/>
          <w:sz w:val="40"/>
          <w:szCs w:val="40"/>
          <w:rtl/>
          <w:lang w:bidi="ar-EG"/>
        </w:rPr>
        <w:t xml:space="preserve"> الحصول على درجة </w:t>
      </w:r>
      <w:r w:rsidR="00985782" w:rsidRPr="000534D9">
        <w:rPr>
          <w:rFonts w:ascii="Traditional Arabic" w:hAnsi="Traditional Arabic" w:cs="Traditional Arabic"/>
          <w:b/>
          <w:bCs/>
          <w:color w:val="0070C0"/>
          <w:sz w:val="40"/>
          <w:szCs w:val="40"/>
          <w:rtl/>
          <w:lang w:bidi="ar-EG"/>
        </w:rPr>
        <w:t>الماجستير</w:t>
      </w:r>
      <w:r w:rsidRPr="000534D9">
        <w:rPr>
          <w:rFonts w:ascii="Traditional Arabic" w:hAnsi="Traditional Arabic" w:cs="Traditional Arabic"/>
          <w:b/>
          <w:bCs/>
          <w:color w:val="0070C0"/>
          <w:sz w:val="40"/>
          <w:szCs w:val="40"/>
          <w:rtl/>
          <w:lang w:bidi="ar-EG"/>
        </w:rPr>
        <w:t xml:space="preserve"> </w:t>
      </w:r>
    </w:p>
    <w:p w14:paraId="040EB3BC" w14:textId="0DE83851" w:rsidR="00985782" w:rsidRPr="000534D9" w:rsidRDefault="00985782" w:rsidP="000534D9">
      <w:pPr>
        <w:spacing w:after="120" w:line="240" w:lineRule="auto"/>
        <w:jc w:val="center"/>
        <w:rPr>
          <w:rFonts w:ascii="Traditional Arabic" w:hAnsi="Traditional Arabic" w:cs="Traditional Arabic"/>
          <w:b/>
          <w:bCs/>
          <w:color w:val="0070C0"/>
          <w:sz w:val="40"/>
          <w:szCs w:val="40"/>
          <w:rtl/>
        </w:rPr>
      </w:pPr>
      <w:r w:rsidRPr="000534D9">
        <w:rPr>
          <w:rFonts w:ascii="Traditional Arabic" w:hAnsi="Traditional Arabic" w:cs="Traditional Arabic"/>
          <w:b/>
          <w:bCs/>
          <w:color w:val="0070C0"/>
          <w:sz w:val="40"/>
          <w:szCs w:val="40"/>
          <w:rtl/>
        </w:rPr>
        <w:t xml:space="preserve">اسم الطالب : </w:t>
      </w:r>
      <w:r w:rsidR="00A62F54" w:rsidRPr="000534D9">
        <w:rPr>
          <w:rFonts w:ascii="Traditional Arabic" w:hAnsi="Traditional Arabic" w:cs="Traditional Arabic" w:hint="cs"/>
          <w:b/>
          <w:bCs/>
          <w:color w:val="0070C0"/>
          <w:sz w:val="40"/>
          <w:szCs w:val="40"/>
          <w:rtl/>
        </w:rPr>
        <w:t>عبد الله بن ماجد بن محمد أبا الخيـــل</w:t>
      </w:r>
    </w:p>
    <w:p w14:paraId="5FA14FAC" w14:textId="403A1885" w:rsidR="00985782" w:rsidRPr="000534D9" w:rsidRDefault="00AC799E" w:rsidP="000534D9">
      <w:pPr>
        <w:spacing w:after="120" w:line="240" w:lineRule="auto"/>
        <w:jc w:val="center"/>
        <w:rPr>
          <w:rFonts w:ascii="Traditional Arabic" w:hAnsi="Traditional Arabic" w:cs="Traditional Arabic"/>
          <w:b/>
          <w:bCs/>
          <w:color w:val="0070C0"/>
          <w:sz w:val="40"/>
          <w:szCs w:val="40"/>
          <w:rtl/>
        </w:rPr>
      </w:pPr>
      <w:r w:rsidRPr="000534D9">
        <w:rPr>
          <w:rFonts w:ascii="Traditional Arabic" w:hAnsi="Traditional Arabic" w:cs="Traditional Arabic"/>
          <w:b/>
          <w:bCs/>
          <w:color w:val="0070C0"/>
          <w:sz w:val="40"/>
          <w:szCs w:val="40"/>
          <w:rtl/>
        </w:rPr>
        <w:t>الرقم الجامعي</w:t>
      </w:r>
      <w:r w:rsidR="00422B8B" w:rsidRPr="000534D9">
        <w:rPr>
          <w:rFonts w:ascii="Traditional Arabic" w:hAnsi="Traditional Arabic" w:cs="Traditional Arabic"/>
          <w:b/>
          <w:bCs/>
          <w:color w:val="0070C0"/>
          <w:sz w:val="40"/>
          <w:szCs w:val="40"/>
        </w:rPr>
        <w:t>:</w:t>
      </w:r>
      <w:r w:rsidRPr="000534D9">
        <w:rPr>
          <w:rFonts w:ascii="Traditional Arabic" w:hAnsi="Traditional Arabic" w:cs="Traditional Arabic"/>
          <w:b/>
          <w:bCs/>
          <w:color w:val="0070C0"/>
          <w:sz w:val="40"/>
          <w:szCs w:val="40"/>
          <w:rtl/>
        </w:rPr>
        <w:t xml:space="preserve"> </w:t>
      </w:r>
      <w:r w:rsidR="00A62F54" w:rsidRPr="000534D9">
        <w:rPr>
          <w:rFonts w:ascii="Traditional Arabic" w:hAnsi="Traditional Arabic" w:cs="Traditional Arabic" w:hint="cs"/>
          <w:b/>
          <w:bCs/>
          <w:color w:val="0070C0"/>
          <w:sz w:val="40"/>
          <w:szCs w:val="40"/>
          <w:rtl/>
        </w:rPr>
        <w:t>222003</w:t>
      </w:r>
    </w:p>
    <w:p w14:paraId="114BC61C" w14:textId="7B073451" w:rsidR="001F7BAE" w:rsidRPr="000534D9" w:rsidRDefault="00985782" w:rsidP="000534D9">
      <w:pPr>
        <w:spacing w:after="120" w:line="240" w:lineRule="auto"/>
        <w:jc w:val="center"/>
        <w:rPr>
          <w:rFonts w:ascii="Traditional Arabic" w:hAnsi="Traditional Arabic" w:cs="Traditional Arabic"/>
          <w:b/>
          <w:bCs/>
          <w:color w:val="0070C0"/>
          <w:sz w:val="40"/>
          <w:szCs w:val="40"/>
          <w:rtl/>
        </w:rPr>
      </w:pPr>
      <w:r w:rsidRPr="000534D9">
        <w:rPr>
          <w:rFonts w:ascii="Traditional Arabic" w:hAnsi="Traditional Arabic" w:cs="Traditional Arabic"/>
          <w:b/>
          <w:bCs/>
          <w:color w:val="0070C0"/>
          <w:sz w:val="40"/>
          <w:szCs w:val="40"/>
          <w:rtl/>
        </w:rPr>
        <w:t xml:space="preserve">بإشراف </w:t>
      </w:r>
      <w:r w:rsidR="00E70979" w:rsidRPr="000534D9">
        <w:rPr>
          <w:rFonts w:ascii="Traditional Arabic" w:hAnsi="Traditional Arabic" w:cs="Traditional Arabic" w:hint="cs"/>
          <w:b/>
          <w:bCs/>
          <w:color w:val="0070C0"/>
          <w:sz w:val="40"/>
          <w:szCs w:val="40"/>
          <w:rtl/>
        </w:rPr>
        <w:t>أ.د:</w:t>
      </w:r>
      <w:r w:rsidR="001F7BAE" w:rsidRPr="000534D9">
        <w:rPr>
          <w:rFonts w:ascii="Traditional Arabic" w:hAnsi="Traditional Arabic" w:cs="Traditional Arabic"/>
          <w:b/>
          <w:bCs/>
          <w:color w:val="0070C0"/>
          <w:sz w:val="40"/>
          <w:szCs w:val="40"/>
          <w:rtl/>
        </w:rPr>
        <w:t xml:space="preserve"> </w:t>
      </w:r>
      <w:r w:rsidR="00A62F54" w:rsidRPr="000534D9">
        <w:rPr>
          <w:rFonts w:ascii="Traditional Arabic" w:hAnsi="Traditional Arabic" w:cs="Traditional Arabic" w:hint="cs"/>
          <w:b/>
          <w:bCs/>
          <w:color w:val="0070C0"/>
          <w:sz w:val="40"/>
          <w:szCs w:val="40"/>
          <w:rtl/>
        </w:rPr>
        <w:t>الخاتم عبد الرحمن</w:t>
      </w:r>
    </w:p>
    <w:p w14:paraId="22FBCDE1" w14:textId="77777777" w:rsidR="001F7BAE" w:rsidRPr="000534D9" w:rsidRDefault="001F7BAE" w:rsidP="000534D9">
      <w:pPr>
        <w:spacing w:after="120" w:line="240" w:lineRule="auto"/>
        <w:jc w:val="center"/>
        <w:rPr>
          <w:rFonts w:ascii="Traditional Arabic" w:hAnsi="Traditional Arabic" w:cs="Traditional Arabic"/>
          <w:b/>
          <w:bCs/>
          <w:color w:val="0070C0"/>
          <w:sz w:val="40"/>
          <w:szCs w:val="40"/>
          <w:rtl/>
        </w:rPr>
      </w:pPr>
      <w:r w:rsidRPr="000534D9">
        <w:rPr>
          <w:rFonts w:ascii="Traditional Arabic" w:hAnsi="Traditional Arabic" w:cs="Traditional Arabic"/>
          <w:b/>
          <w:bCs/>
          <w:color w:val="0070C0"/>
          <w:sz w:val="40"/>
          <w:szCs w:val="40"/>
          <w:rtl/>
        </w:rPr>
        <w:t>للعام الجامعي</w:t>
      </w:r>
    </w:p>
    <w:p w14:paraId="500D7F48" w14:textId="5D46A438" w:rsidR="006B488B" w:rsidRPr="000534D9" w:rsidRDefault="00286DB0" w:rsidP="000534D9">
      <w:pPr>
        <w:spacing w:after="120" w:line="240" w:lineRule="auto"/>
        <w:jc w:val="center"/>
        <w:rPr>
          <w:rFonts w:ascii="Traditional Arabic" w:hAnsi="Traditional Arabic" w:cs="Traditional Arabic"/>
          <w:b/>
          <w:bCs/>
          <w:color w:val="0070C0"/>
          <w:sz w:val="40"/>
          <w:szCs w:val="40"/>
          <w:rtl/>
        </w:rPr>
        <w:sectPr w:rsidR="006B488B" w:rsidRPr="000534D9" w:rsidSect="00C406BC">
          <w:pgSz w:w="12240" w:h="15840"/>
          <w:pgMar w:top="1440" w:right="1440" w:bottom="1440" w:left="1440" w:header="720" w:footer="720" w:gutter="0"/>
          <w:pgBorders w:offsetFrom="page">
            <w:top w:val="certificateBanner" w:sz="31" w:space="24" w:color="auto"/>
            <w:left w:val="certificateBanner" w:sz="31" w:space="24" w:color="auto"/>
            <w:bottom w:val="certificateBanner" w:sz="31" w:space="24" w:color="auto"/>
            <w:right w:val="certificateBanner" w:sz="31" w:space="24" w:color="auto"/>
          </w:pgBorders>
          <w:cols w:space="720"/>
          <w:docGrid w:linePitch="360"/>
        </w:sectPr>
      </w:pPr>
      <w:r w:rsidRPr="000534D9">
        <w:rPr>
          <w:rFonts w:ascii="Traditional Arabic" w:hAnsi="Traditional Arabic" w:cs="Traditional Arabic"/>
          <w:b/>
          <w:bCs/>
          <w:color w:val="0070C0"/>
          <w:sz w:val="40"/>
          <w:szCs w:val="40"/>
          <w:rtl/>
        </w:rPr>
        <w:t>144</w:t>
      </w:r>
      <w:r w:rsidR="00A62F54" w:rsidRPr="000534D9">
        <w:rPr>
          <w:rFonts w:ascii="Traditional Arabic" w:hAnsi="Traditional Arabic" w:cs="Traditional Arabic" w:hint="cs"/>
          <w:b/>
          <w:bCs/>
          <w:color w:val="0070C0"/>
          <w:sz w:val="40"/>
          <w:szCs w:val="40"/>
          <w:rtl/>
        </w:rPr>
        <w:t>6</w:t>
      </w:r>
      <w:r w:rsidRPr="000534D9">
        <w:rPr>
          <w:rFonts w:ascii="Traditional Arabic" w:hAnsi="Traditional Arabic" w:cs="Traditional Arabic"/>
          <w:b/>
          <w:bCs/>
          <w:color w:val="0070C0"/>
          <w:sz w:val="40"/>
          <w:szCs w:val="40"/>
          <w:rtl/>
        </w:rPr>
        <w:t xml:space="preserve">هـ </w:t>
      </w:r>
      <w:r w:rsidR="00E70979" w:rsidRPr="000534D9">
        <w:rPr>
          <w:rFonts w:ascii="Traditional Arabic" w:hAnsi="Traditional Arabic" w:cs="Traditional Arabic" w:hint="cs"/>
          <w:b/>
          <w:bCs/>
          <w:color w:val="0070C0"/>
          <w:sz w:val="40"/>
          <w:szCs w:val="40"/>
          <w:rtl/>
        </w:rPr>
        <w:t>ــ 2024</w:t>
      </w:r>
      <w:r w:rsidR="000534D9" w:rsidRPr="000534D9">
        <w:rPr>
          <w:rFonts w:ascii="Traditional Arabic" w:hAnsi="Traditional Arabic" w:cs="Traditional Arabic" w:hint="cs"/>
          <w:b/>
          <w:bCs/>
          <w:color w:val="0070C0"/>
          <w:sz w:val="40"/>
          <w:szCs w:val="40"/>
          <w:rtl/>
        </w:rPr>
        <w:t xml:space="preserve"> م</w:t>
      </w:r>
    </w:p>
    <w:sdt>
      <w:sdtPr>
        <w:rPr>
          <w:rFonts w:ascii="Traditional Arabic" w:eastAsiaTheme="minorHAnsi" w:hAnsi="Traditional Arabic" w:cs="Traditional Arabic"/>
          <w:color w:val="auto"/>
          <w:kern w:val="2"/>
          <w:sz w:val="40"/>
          <w:szCs w:val="40"/>
          <w14:ligatures w14:val="standardContextual"/>
        </w:rPr>
        <w:id w:val="1348290414"/>
        <w:docPartObj>
          <w:docPartGallery w:val="Table of Contents"/>
          <w:docPartUnique/>
        </w:docPartObj>
      </w:sdtPr>
      <w:sdtEndPr>
        <w:rPr>
          <w:b/>
          <w:bCs/>
          <w:noProof/>
          <w:rtl/>
        </w:rPr>
      </w:sdtEndPr>
      <w:sdtContent>
        <w:p w14:paraId="3F7C1263" w14:textId="0EA384AB" w:rsidR="00101E92" w:rsidRPr="00C406BC" w:rsidRDefault="00101E92" w:rsidP="00C406BC">
          <w:pPr>
            <w:pStyle w:val="a8"/>
            <w:spacing w:after="240" w:line="360" w:lineRule="auto"/>
            <w:jc w:val="center"/>
            <w:rPr>
              <w:rFonts w:ascii="Traditional Arabic" w:hAnsi="Traditional Arabic" w:cs="Traditional Arabic"/>
              <w:color w:val="auto"/>
              <w:sz w:val="40"/>
              <w:szCs w:val="40"/>
            </w:rPr>
          </w:pPr>
          <w:r w:rsidRPr="00C406BC">
            <w:rPr>
              <w:rFonts w:ascii="Traditional Arabic" w:hAnsi="Traditional Arabic" w:cs="Traditional Arabic"/>
              <w:color w:val="auto"/>
              <w:sz w:val="40"/>
              <w:szCs w:val="40"/>
              <w:rtl/>
            </w:rPr>
            <w:t>الفهرس</w:t>
          </w:r>
        </w:p>
        <w:p w14:paraId="58C0529C" w14:textId="2B2363E4" w:rsidR="00286DB0" w:rsidRPr="00C406BC" w:rsidRDefault="00101E92" w:rsidP="00C406BC">
          <w:pPr>
            <w:pStyle w:val="10"/>
            <w:tabs>
              <w:tab w:val="right" w:leader="dot" w:pos="9350"/>
            </w:tabs>
            <w:spacing w:line="240" w:lineRule="auto"/>
            <w:rPr>
              <w:rFonts w:ascii="Traditional Arabic" w:eastAsiaTheme="minorEastAsia" w:hAnsi="Traditional Arabic" w:cs="Traditional Arabic"/>
              <w:noProof/>
              <w:kern w:val="0"/>
              <w:sz w:val="36"/>
              <w:szCs w:val="36"/>
              <w14:ligatures w14:val="none"/>
            </w:rPr>
          </w:pPr>
          <w:r w:rsidRPr="00C406BC">
            <w:rPr>
              <w:rFonts w:ascii="Traditional Arabic" w:hAnsi="Traditional Arabic" w:cs="Traditional Arabic"/>
              <w:b/>
              <w:bCs/>
              <w:noProof/>
              <w:sz w:val="40"/>
              <w:szCs w:val="40"/>
            </w:rPr>
            <w:fldChar w:fldCharType="begin"/>
          </w:r>
          <w:r w:rsidRPr="00C406BC">
            <w:rPr>
              <w:rFonts w:ascii="Traditional Arabic" w:hAnsi="Traditional Arabic" w:cs="Traditional Arabic"/>
              <w:b/>
              <w:bCs/>
              <w:noProof/>
              <w:sz w:val="40"/>
              <w:szCs w:val="40"/>
            </w:rPr>
            <w:instrText xml:space="preserve"> TOC \o "1-3" \h \z \u </w:instrText>
          </w:r>
          <w:r w:rsidRPr="00C406BC">
            <w:rPr>
              <w:rFonts w:ascii="Traditional Arabic" w:hAnsi="Traditional Arabic" w:cs="Traditional Arabic"/>
              <w:b/>
              <w:bCs/>
              <w:noProof/>
              <w:sz w:val="40"/>
              <w:szCs w:val="40"/>
            </w:rPr>
            <w:fldChar w:fldCharType="separate"/>
          </w:r>
          <w:hyperlink w:anchor="_Toc168891636" w:history="1">
            <w:r w:rsidR="00286DB0" w:rsidRPr="00C406BC">
              <w:rPr>
                <w:rStyle w:val="Hyperlink"/>
                <w:rFonts w:ascii="Traditional Arabic" w:hAnsi="Traditional Arabic" w:cs="Traditional Arabic"/>
                <w:b/>
                <w:bCs/>
                <w:noProof/>
                <w:color w:val="auto"/>
                <w:sz w:val="36"/>
                <w:szCs w:val="36"/>
                <w:rtl/>
                <w:lang w:bidi="ar-EG"/>
              </w:rPr>
              <w:t>ال</w:t>
            </w:r>
            <w:r w:rsidR="00286DB0" w:rsidRPr="00C406BC">
              <w:rPr>
                <w:rStyle w:val="Hyperlink"/>
                <w:rFonts w:ascii="Traditional Arabic" w:hAnsi="Traditional Arabic" w:cs="Traditional Arabic"/>
                <w:b/>
                <w:bCs/>
                <w:noProof/>
                <w:color w:val="auto"/>
                <w:sz w:val="36"/>
                <w:szCs w:val="36"/>
                <w:rtl/>
              </w:rPr>
              <w:t>مقدمة</w:t>
            </w:r>
            <w:r w:rsidR="00286DB0" w:rsidRPr="00C406BC">
              <w:rPr>
                <w:rFonts w:ascii="Traditional Arabic" w:hAnsi="Traditional Arabic" w:cs="Traditional Arabic"/>
                <w:noProof/>
                <w:webHidden/>
                <w:sz w:val="36"/>
                <w:szCs w:val="36"/>
              </w:rPr>
              <w:tab/>
            </w:r>
            <w:r w:rsidR="00286DB0" w:rsidRPr="00C406BC">
              <w:rPr>
                <w:rFonts w:ascii="Traditional Arabic" w:hAnsi="Traditional Arabic" w:cs="Traditional Arabic"/>
                <w:noProof/>
                <w:webHidden/>
                <w:sz w:val="36"/>
                <w:szCs w:val="36"/>
              </w:rPr>
              <w:fldChar w:fldCharType="begin"/>
            </w:r>
            <w:r w:rsidR="00286DB0" w:rsidRPr="00C406BC">
              <w:rPr>
                <w:rFonts w:ascii="Traditional Arabic" w:hAnsi="Traditional Arabic" w:cs="Traditional Arabic"/>
                <w:noProof/>
                <w:webHidden/>
                <w:sz w:val="36"/>
                <w:szCs w:val="36"/>
              </w:rPr>
              <w:instrText xml:space="preserve"> PAGEREF _Toc168891636 \h </w:instrText>
            </w:r>
            <w:r w:rsidR="00286DB0" w:rsidRPr="00C406BC">
              <w:rPr>
                <w:rFonts w:ascii="Traditional Arabic" w:hAnsi="Traditional Arabic" w:cs="Traditional Arabic"/>
                <w:noProof/>
                <w:webHidden/>
                <w:sz w:val="36"/>
                <w:szCs w:val="36"/>
              </w:rPr>
            </w:r>
            <w:r w:rsidR="00286DB0" w:rsidRPr="00C406BC">
              <w:rPr>
                <w:rFonts w:ascii="Traditional Arabic" w:hAnsi="Traditional Arabic" w:cs="Traditional Arabic"/>
                <w:noProof/>
                <w:webHidden/>
                <w:sz w:val="36"/>
                <w:szCs w:val="36"/>
              </w:rPr>
              <w:fldChar w:fldCharType="separate"/>
            </w:r>
            <w:r w:rsidR="000534D9">
              <w:rPr>
                <w:rFonts w:ascii="Traditional Arabic" w:hAnsi="Traditional Arabic" w:cs="Traditional Arabic"/>
                <w:noProof/>
                <w:webHidden/>
                <w:sz w:val="36"/>
                <w:szCs w:val="36"/>
                <w:rtl/>
              </w:rPr>
              <w:t>3</w:t>
            </w:r>
            <w:r w:rsidR="00286DB0" w:rsidRPr="00C406BC">
              <w:rPr>
                <w:rFonts w:ascii="Traditional Arabic" w:hAnsi="Traditional Arabic" w:cs="Traditional Arabic"/>
                <w:noProof/>
                <w:webHidden/>
                <w:sz w:val="36"/>
                <w:szCs w:val="36"/>
              </w:rPr>
              <w:fldChar w:fldCharType="end"/>
            </w:r>
          </w:hyperlink>
        </w:p>
        <w:p w14:paraId="652E1CDC" w14:textId="0A3BDE8F" w:rsidR="00286DB0" w:rsidRPr="00C406BC" w:rsidRDefault="00286DB0" w:rsidP="00C406BC">
          <w:pPr>
            <w:pStyle w:val="10"/>
            <w:tabs>
              <w:tab w:val="right" w:leader="dot" w:pos="9350"/>
            </w:tabs>
            <w:spacing w:line="240" w:lineRule="auto"/>
            <w:rPr>
              <w:rFonts w:ascii="Traditional Arabic" w:eastAsiaTheme="minorEastAsia" w:hAnsi="Traditional Arabic" w:cs="Traditional Arabic"/>
              <w:noProof/>
              <w:kern w:val="0"/>
              <w:sz w:val="36"/>
              <w:szCs w:val="36"/>
              <w14:ligatures w14:val="none"/>
            </w:rPr>
          </w:pPr>
          <w:hyperlink w:anchor="_Toc168891637" w:history="1">
            <w:r w:rsidRPr="00C406BC">
              <w:rPr>
                <w:rStyle w:val="Hyperlink"/>
                <w:rFonts w:ascii="Traditional Arabic" w:hAnsi="Traditional Arabic" w:cs="Traditional Arabic"/>
                <w:b/>
                <w:bCs/>
                <w:noProof/>
                <w:color w:val="auto"/>
                <w:sz w:val="36"/>
                <w:szCs w:val="36"/>
                <w:rtl/>
              </w:rPr>
              <w:t>أهمية الموضوع</w:t>
            </w:r>
            <w:r w:rsidRPr="00C406BC">
              <w:rPr>
                <w:rFonts w:ascii="Traditional Arabic" w:hAnsi="Traditional Arabic" w:cs="Traditional Arabic"/>
                <w:noProof/>
                <w:webHidden/>
                <w:sz w:val="36"/>
                <w:szCs w:val="36"/>
              </w:rPr>
              <w:tab/>
            </w:r>
            <w:r w:rsidRPr="00C406BC">
              <w:rPr>
                <w:rFonts w:ascii="Traditional Arabic" w:hAnsi="Traditional Arabic" w:cs="Traditional Arabic"/>
                <w:noProof/>
                <w:webHidden/>
                <w:sz w:val="36"/>
                <w:szCs w:val="36"/>
              </w:rPr>
              <w:fldChar w:fldCharType="begin"/>
            </w:r>
            <w:r w:rsidRPr="00C406BC">
              <w:rPr>
                <w:rFonts w:ascii="Traditional Arabic" w:hAnsi="Traditional Arabic" w:cs="Traditional Arabic"/>
                <w:noProof/>
                <w:webHidden/>
                <w:sz w:val="36"/>
                <w:szCs w:val="36"/>
              </w:rPr>
              <w:instrText xml:space="preserve"> PAGEREF _Toc168891637 \h </w:instrText>
            </w:r>
            <w:r w:rsidRPr="00C406BC">
              <w:rPr>
                <w:rFonts w:ascii="Traditional Arabic" w:hAnsi="Traditional Arabic" w:cs="Traditional Arabic"/>
                <w:noProof/>
                <w:webHidden/>
                <w:sz w:val="36"/>
                <w:szCs w:val="36"/>
              </w:rPr>
            </w:r>
            <w:r w:rsidRPr="00C406BC">
              <w:rPr>
                <w:rFonts w:ascii="Traditional Arabic" w:hAnsi="Traditional Arabic" w:cs="Traditional Arabic"/>
                <w:noProof/>
                <w:webHidden/>
                <w:sz w:val="36"/>
                <w:szCs w:val="36"/>
              </w:rPr>
              <w:fldChar w:fldCharType="separate"/>
            </w:r>
            <w:r w:rsidR="000534D9">
              <w:rPr>
                <w:rFonts w:ascii="Traditional Arabic" w:hAnsi="Traditional Arabic" w:cs="Traditional Arabic"/>
                <w:noProof/>
                <w:webHidden/>
                <w:sz w:val="36"/>
                <w:szCs w:val="36"/>
                <w:rtl/>
              </w:rPr>
              <w:t>7</w:t>
            </w:r>
            <w:r w:rsidRPr="00C406BC">
              <w:rPr>
                <w:rFonts w:ascii="Traditional Arabic" w:hAnsi="Traditional Arabic" w:cs="Traditional Arabic"/>
                <w:noProof/>
                <w:webHidden/>
                <w:sz w:val="36"/>
                <w:szCs w:val="36"/>
              </w:rPr>
              <w:fldChar w:fldCharType="end"/>
            </w:r>
          </w:hyperlink>
        </w:p>
        <w:p w14:paraId="35161D3B" w14:textId="671C5D93" w:rsidR="00286DB0" w:rsidRPr="00C406BC" w:rsidRDefault="00286DB0" w:rsidP="00C406BC">
          <w:pPr>
            <w:pStyle w:val="10"/>
            <w:tabs>
              <w:tab w:val="right" w:leader="dot" w:pos="9350"/>
            </w:tabs>
            <w:spacing w:line="240" w:lineRule="auto"/>
            <w:rPr>
              <w:rFonts w:ascii="Traditional Arabic" w:eastAsiaTheme="minorEastAsia" w:hAnsi="Traditional Arabic" w:cs="Traditional Arabic"/>
              <w:noProof/>
              <w:kern w:val="0"/>
              <w:sz w:val="36"/>
              <w:szCs w:val="36"/>
              <w14:ligatures w14:val="none"/>
            </w:rPr>
          </w:pPr>
          <w:hyperlink w:anchor="_Toc168891638" w:history="1">
            <w:r w:rsidRPr="00C406BC">
              <w:rPr>
                <w:rStyle w:val="Hyperlink"/>
                <w:rFonts w:ascii="Traditional Arabic" w:hAnsi="Traditional Arabic" w:cs="Traditional Arabic"/>
                <w:b/>
                <w:bCs/>
                <w:noProof/>
                <w:color w:val="auto"/>
                <w:sz w:val="36"/>
                <w:szCs w:val="36"/>
                <w:rtl/>
              </w:rPr>
              <w:t>أسباب اختيار الموضوع:</w:t>
            </w:r>
            <w:r w:rsidRPr="00C406BC">
              <w:rPr>
                <w:rFonts w:ascii="Traditional Arabic" w:hAnsi="Traditional Arabic" w:cs="Traditional Arabic"/>
                <w:noProof/>
                <w:webHidden/>
                <w:sz w:val="36"/>
                <w:szCs w:val="36"/>
              </w:rPr>
              <w:tab/>
            </w:r>
            <w:r w:rsidRPr="00C406BC">
              <w:rPr>
                <w:rFonts w:ascii="Traditional Arabic" w:hAnsi="Traditional Arabic" w:cs="Traditional Arabic"/>
                <w:noProof/>
                <w:webHidden/>
                <w:sz w:val="36"/>
                <w:szCs w:val="36"/>
              </w:rPr>
              <w:fldChar w:fldCharType="begin"/>
            </w:r>
            <w:r w:rsidRPr="00C406BC">
              <w:rPr>
                <w:rFonts w:ascii="Traditional Arabic" w:hAnsi="Traditional Arabic" w:cs="Traditional Arabic"/>
                <w:noProof/>
                <w:webHidden/>
                <w:sz w:val="36"/>
                <w:szCs w:val="36"/>
              </w:rPr>
              <w:instrText xml:space="preserve"> PAGEREF _Toc168891638 \h </w:instrText>
            </w:r>
            <w:r w:rsidRPr="00C406BC">
              <w:rPr>
                <w:rFonts w:ascii="Traditional Arabic" w:hAnsi="Traditional Arabic" w:cs="Traditional Arabic"/>
                <w:noProof/>
                <w:webHidden/>
                <w:sz w:val="36"/>
                <w:szCs w:val="36"/>
              </w:rPr>
            </w:r>
            <w:r w:rsidRPr="00C406BC">
              <w:rPr>
                <w:rFonts w:ascii="Traditional Arabic" w:hAnsi="Traditional Arabic" w:cs="Traditional Arabic"/>
                <w:noProof/>
                <w:webHidden/>
                <w:sz w:val="36"/>
                <w:szCs w:val="36"/>
              </w:rPr>
              <w:fldChar w:fldCharType="separate"/>
            </w:r>
            <w:r w:rsidR="000534D9">
              <w:rPr>
                <w:rFonts w:ascii="Traditional Arabic" w:hAnsi="Traditional Arabic" w:cs="Traditional Arabic"/>
                <w:noProof/>
                <w:webHidden/>
                <w:sz w:val="36"/>
                <w:szCs w:val="36"/>
                <w:rtl/>
              </w:rPr>
              <w:t>8</w:t>
            </w:r>
            <w:r w:rsidRPr="00C406BC">
              <w:rPr>
                <w:rFonts w:ascii="Traditional Arabic" w:hAnsi="Traditional Arabic" w:cs="Traditional Arabic"/>
                <w:noProof/>
                <w:webHidden/>
                <w:sz w:val="36"/>
                <w:szCs w:val="36"/>
              </w:rPr>
              <w:fldChar w:fldCharType="end"/>
            </w:r>
          </w:hyperlink>
        </w:p>
        <w:p w14:paraId="2C6C3D32" w14:textId="71B0692B" w:rsidR="00286DB0" w:rsidRPr="00C406BC" w:rsidRDefault="00286DB0" w:rsidP="00C406BC">
          <w:pPr>
            <w:pStyle w:val="10"/>
            <w:tabs>
              <w:tab w:val="right" w:leader="dot" w:pos="9350"/>
            </w:tabs>
            <w:spacing w:line="240" w:lineRule="auto"/>
            <w:rPr>
              <w:rFonts w:ascii="Traditional Arabic" w:eastAsiaTheme="minorEastAsia" w:hAnsi="Traditional Arabic" w:cs="Traditional Arabic"/>
              <w:noProof/>
              <w:kern w:val="0"/>
              <w:sz w:val="36"/>
              <w:szCs w:val="36"/>
              <w14:ligatures w14:val="none"/>
            </w:rPr>
          </w:pPr>
          <w:hyperlink w:anchor="_Toc168891639" w:history="1">
            <w:r w:rsidRPr="00C406BC">
              <w:rPr>
                <w:rStyle w:val="Hyperlink"/>
                <w:rFonts w:ascii="Traditional Arabic" w:hAnsi="Traditional Arabic" w:cs="Traditional Arabic"/>
                <w:b/>
                <w:bCs/>
                <w:noProof/>
                <w:color w:val="auto"/>
                <w:sz w:val="36"/>
                <w:szCs w:val="36"/>
                <w:rtl/>
              </w:rPr>
              <w:t>أهداف البحث</w:t>
            </w:r>
            <w:r w:rsidRPr="00C406BC">
              <w:rPr>
                <w:rFonts w:ascii="Traditional Arabic" w:hAnsi="Traditional Arabic" w:cs="Traditional Arabic"/>
                <w:noProof/>
                <w:webHidden/>
                <w:sz w:val="36"/>
                <w:szCs w:val="36"/>
              </w:rPr>
              <w:tab/>
            </w:r>
            <w:r w:rsidRPr="00C406BC">
              <w:rPr>
                <w:rFonts w:ascii="Traditional Arabic" w:hAnsi="Traditional Arabic" w:cs="Traditional Arabic"/>
                <w:noProof/>
                <w:webHidden/>
                <w:sz w:val="36"/>
                <w:szCs w:val="36"/>
              </w:rPr>
              <w:fldChar w:fldCharType="begin"/>
            </w:r>
            <w:r w:rsidRPr="00C406BC">
              <w:rPr>
                <w:rFonts w:ascii="Traditional Arabic" w:hAnsi="Traditional Arabic" w:cs="Traditional Arabic"/>
                <w:noProof/>
                <w:webHidden/>
                <w:sz w:val="36"/>
                <w:szCs w:val="36"/>
              </w:rPr>
              <w:instrText xml:space="preserve"> PAGEREF _Toc168891639 \h </w:instrText>
            </w:r>
            <w:r w:rsidRPr="00C406BC">
              <w:rPr>
                <w:rFonts w:ascii="Traditional Arabic" w:hAnsi="Traditional Arabic" w:cs="Traditional Arabic"/>
                <w:noProof/>
                <w:webHidden/>
                <w:sz w:val="36"/>
                <w:szCs w:val="36"/>
              </w:rPr>
            </w:r>
            <w:r w:rsidRPr="00C406BC">
              <w:rPr>
                <w:rFonts w:ascii="Traditional Arabic" w:hAnsi="Traditional Arabic" w:cs="Traditional Arabic"/>
                <w:noProof/>
                <w:webHidden/>
                <w:sz w:val="36"/>
                <w:szCs w:val="36"/>
              </w:rPr>
              <w:fldChar w:fldCharType="separate"/>
            </w:r>
            <w:r w:rsidR="000534D9">
              <w:rPr>
                <w:rFonts w:ascii="Traditional Arabic" w:hAnsi="Traditional Arabic" w:cs="Traditional Arabic"/>
                <w:noProof/>
                <w:webHidden/>
                <w:sz w:val="36"/>
                <w:szCs w:val="36"/>
                <w:rtl/>
              </w:rPr>
              <w:t>9</w:t>
            </w:r>
            <w:r w:rsidRPr="00C406BC">
              <w:rPr>
                <w:rFonts w:ascii="Traditional Arabic" w:hAnsi="Traditional Arabic" w:cs="Traditional Arabic"/>
                <w:noProof/>
                <w:webHidden/>
                <w:sz w:val="36"/>
                <w:szCs w:val="36"/>
              </w:rPr>
              <w:fldChar w:fldCharType="end"/>
            </w:r>
          </w:hyperlink>
        </w:p>
        <w:p w14:paraId="4F747C0F" w14:textId="2BB97206" w:rsidR="00286DB0" w:rsidRPr="00C406BC" w:rsidRDefault="00286DB0" w:rsidP="00C406BC">
          <w:pPr>
            <w:pStyle w:val="10"/>
            <w:tabs>
              <w:tab w:val="right" w:leader="dot" w:pos="9350"/>
            </w:tabs>
            <w:spacing w:line="240" w:lineRule="auto"/>
            <w:rPr>
              <w:rFonts w:ascii="Traditional Arabic" w:eastAsiaTheme="minorEastAsia" w:hAnsi="Traditional Arabic" w:cs="Traditional Arabic"/>
              <w:noProof/>
              <w:kern w:val="0"/>
              <w:sz w:val="36"/>
              <w:szCs w:val="36"/>
              <w14:ligatures w14:val="none"/>
            </w:rPr>
          </w:pPr>
          <w:hyperlink w:anchor="_Toc168891640" w:history="1">
            <w:r w:rsidRPr="00C406BC">
              <w:rPr>
                <w:rStyle w:val="Hyperlink"/>
                <w:rFonts w:ascii="Traditional Arabic" w:hAnsi="Traditional Arabic" w:cs="Traditional Arabic"/>
                <w:b/>
                <w:bCs/>
                <w:noProof/>
                <w:color w:val="auto"/>
                <w:sz w:val="36"/>
                <w:szCs w:val="36"/>
                <w:rtl/>
              </w:rPr>
              <w:t>مشكلة البحث</w:t>
            </w:r>
            <w:r w:rsidRPr="00C406BC">
              <w:rPr>
                <w:rFonts w:ascii="Traditional Arabic" w:hAnsi="Traditional Arabic" w:cs="Traditional Arabic"/>
                <w:noProof/>
                <w:webHidden/>
                <w:sz w:val="36"/>
                <w:szCs w:val="36"/>
              </w:rPr>
              <w:tab/>
            </w:r>
            <w:r w:rsidRPr="00C406BC">
              <w:rPr>
                <w:rFonts w:ascii="Traditional Arabic" w:hAnsi="Traditional Arabic" w:cs="Traditional Arabic"/>
                <w:noProof/>
                <w:webHidden/>
                <w:sz w:val="36"/>
                <w:szCs w:val="36"/>
              </w:rPr>
              <w:fldChar w:fldCharType="begin"/>
            </w:r>
            <w:r w:rsidRPr="00C406BC">
              <w:rPr>
                <w:rFonts w:ascii="Traditional Arabic" w:hAnsi="Traditional Arabic" w:cs="Traditional Arabic"/>
                <w:noProof/>
                <w:webHidden/>
                <w:sz w:val="36"/>
                <w:szCs w:val="36"/>
              </w:rPr>
              <w:instrText xml:space="preserve"> PAGEREF _Toc168891640 \h </w:instrText>
            </w:r>
            <w:r w:rsidRPr="00C406BC">
              <w:rPr>
                <w:rFonts w:ascii="Traditional Arabic" w:hAnsi="Traditional Arabic" w:cs="Traditional Arabic"/>
                <w:noProof/>
                <w:webHidden/>
                <w:sz w:val="36"/>
                <w:szCs w:val="36"/>
              </w:rPr>
            </w:r>
            <w:r w:rsidRPr="00C406BC">
              <w:rPr>
                <w:rFonts w:ascii="Traditional Arabic" w:hAnsi="Traditional Arabic" w:cs="Traditional Arabic"/>
                <w:noProof/>
                <w:webHidden/>
                <w:sz w:val="36"/>
                <w:szCs w:val="36"/>
              </w:rPr>
              <w:fldChar w:fldCharType="separate"/>
            </w:r>
            <w:r w:rsidR="000534D9">
              <w:rPr>
                <w:rFonts w:ascii="Traditional Arabic" w:hAnsi="Traditional Arabic" w:cs="Traditional Arabic"/>
                <w:noProof/>
                <w:webHidden/>
                <w:sz w:val="36"/>
                <w:szCs w:val="36"/>
                <w:rtl/>
              </w:rPr>
              <w:t>9</w:t>
            </w:r>
            <w:r w:rsidRPr="00C406BC">
              <w:rPr>
                <w:rFonts w:ascii="Traditional Arabic" w:hAnsi="Traditional Arabic" w:cs="Traditional Arabic"/>
                <w:noProof/>
                <w:webHidden/>
                <w:sz w:val="36"/>
                <w:szCs w:val="36"/>
              </w:rPr>
              <w:fldChar w:fldCharType="end"/>
            </w:r>
          </w:hyperlink>
        </w:p>
        <w:p w14:paraId="42C81D92" w14:textId="4096A9EF" w:rsidR="00286DB0" w:rsidRPr="00C406BC" w:rsidRDefault="00286DB0" w:rsidP="00C406BC">
          <w:pPr>
            <w:pStyle w:val="10"/>
            <w:tabs>
              <w:tab w:val="right" w:leader="dot" w:pos="9350"/>
            </w:tabs>
            <w:spacing w:line="240" w:lineRule="auto"/>
            <w:rPr>
              <w:rFonts w:ascii="Traditional Arabic" w:eastAsiaTheme="minorEastAsia" w:hAnsi="Traditional Arabic" w:cs="Traditional Arabic"/>
              <w:noProof/>
              <w:kern w:val="0"/>
              <w:sz w:val="36"/>
              <w:szCs w:val="36"/>
              <w14:ligatures w14:val="none"/>
            </w:rPr>
          </w:pPr>
          <w:hyperlink w:anchor="_Toc168891641" w:history="1">
            <w:r w:rsidRPr="00C406BC">
              <w:rPr>
                <w:rStyle w:val="Hyperlink"/>
                <w:rFonts w:ascii="Traditional Arabic" w:hAnsi="Traditional Arabic" w:cs="Traditional Arabic"/>
                <w:b/>
                <w:bCs/>
                <w:noProof/>
                <w:color w:val="auto"/>
                <w:sz w:val="36"/>
                <w:szCs w:val="36"/>
                <w:rtl/>
              </w:rPr>
              <w:t>أسئلة البحث</w:t>
            </w:r>
            <w:r w:rsidRPr="00C406BC">
              <w:rPr>
                <w:rFonts w:ascii="Traditional Arabic" w:hAnsi="Traditional Arabic" w:cs="Traditional Arabic"/>
                <w:noProof/>
                <w:webHidden/>
                <w:sz w:val="36"/>
                <w:szCs w:val="36"/>
              </w:rPr>
              <w:tab/>
            </w:r>
            <w:r w:rsidRPr="00C406BC">
              <w:rPr>
                <w:rFonts w:ascii="Traditional Arabic" w:hAnsi="Traditional Arabic" w:cs="Traditional Arabic"/>
                <w:noProof/>
                <w:webHidden/>
                <w:sz w:val="36"/>
                <w:szCs w:val="36"/>
              </w:rPr>
              <w:fldChar w:fldCharType="begin"/>
            </w:r>
            <w:r w:rsidRPr="00C406BC">
              <w:rPr>
                <w:rFonts w:ascii="Traditional Arabic" w:hAnsi="Traditional Arabic" w:cs="Traditional Arabic"/>
                <w:noProof/>
                <w:webHidden/>
                <w:sz w:val="36"/>
                <w:szCs w:val="36"/>
              </w:rPr>
              <w:instrText xml:space="preserve"> PAGEREF _Toc168891641 \h </w:instrText>
            </w:r>
            <w:r w:rsidRPr="00C406BC">
              <w:rPr>
                <w:rFonts w:ascii="Traditional Arabic" w:hAnsi="Traditional Arabic" w:cs="Traditional Arabic"/>
                <w:noProof/>
                <w:webHidden/>
                <w:sz w:val="36"/>
                <w:szCs w:val="36"/>
              </w:rPr>
            </w:r>
            <w:r w:rsidRPr="00C406BC">
              <w:rPr>
                <w:rFonts w:ascii="Traditional Arabic" w:hAnsi="Traditional Arabic" w:cs="Traditional Arabic"/>
                <w:noProof/>
                <w:webHidden/>
                <w:sz w:val="36"/>
                <w:szCs w:val="36"/>
              </w:rPr>
              <w:fldChar w:fldCharType="separate"/>
            </w:r>
            <w:r w:rsidR="000534D9">
              <w:rPr>
                <w:rFonts w:ascii="Traditional Arabic" w:hAnsi="Traditional Arabic" w:cs="Traditional Arabic"/>
                <w:noProof/>
                <w:webHidden/>
                <w:sz w:val="36"/>
                <w:szCs w:val="36"/>
                <w:rtl/>
              </w:rPr>
              <w:t>9</w:t>
            </w:r>
            <w:r w:rsidRPr="00C406BC">
              <w:rPr>
                <w:rFonts w:ascii="Traditional Arabic" w:hAnsi="Traditional Arabic" w:cs="Traditional Arabic"/>
                <w:noProof/>
                <w:webHidden/>
                <w:sz w:val="36"/>
                <w:szCs w:val="36"/>
              </w:rPr>
              <w:fldChar w:fldCharType="end"/>
            </w:r>
          </w:hyperlink>
        </w:p>
        <w:p w14:paraId="122346E1" w14:textId="3E591055" w:rsidR="00286DB0" w:rsidRPr="00C406BC" w:rsidRDefault="00286DB0" w:rsidP="00C406BC">
          <w:pPr>
            <w:pStyle w:val="10"/>
            <w:tabs>
              <w:tab w:val="right" w:leader="dot" w:pos="9350"/>
            </w:tabs>
            <w:spacing w:line="240" w:lineRule="auto"/>
            <w:rPr>
              <w:rFonts w:ascii="Traditional Arabic" w:eastAsiaTheme="minorEastAsia" w:hAnsi="Traditional Arabic" w:cs="Traditional Arabic"/>
              <w:noProof/>
              <w:kern w:val="0"/>
              <w:sz w:val="36"/>
              <w:szCs w:val="36"/>
              <w14:ligatures w14:val="none"/>
            </w:rPr>
          </w:pPr>
          <w:hyperlink w:anchor="_Toc168891642" w:history="1">
            <w:r w:rsidRPr="00C406BC">
              <w:rPr>
                <w:rStyle w:val="Hyperlink"/>
                <w:rFonts w:ascii="Traditional Arabic" w:hAnsi="Traditional Arabic" w:cs="Traditional Arabic"/>
                <w:b/>
                <w:bCs/>
                <w:noProof/>
                <w:color w:val="auto"/>
                <w:sz w:val="36"/>
                <w:szCs w:val="36"/>
                <w:rtl/>
              </w:rPr>
              <w:t>منهج البحث</w:t>
            </w:r>
            <w:r w:rsidRPr="00C406BC">
              <w:rPr>
                <w:rFonts w:ascii="Traditional Arabic" w:hAnsi="Traditional Arabic" w:cs="Traditional Arabic"/>
                <w:noProof/>
                <w:webHidden/>
                <w:sz w:val="36"/>
                <w:szCs w:val="36"/>
              </w:rPr>
              <w:tab/>
            </w:r>
            <w:r w:rsidRPr="00C406BC">
              <w:rPr>
                <w:rFonts w:ascii="Traditional Arabic" w:hAnsi="Traditional Arabic" w:cs="Traditional Arabic"/>
                <w:noProof/>
                <w:webHidden/>
                <w:sz w:val="36"/>
                <w:szCs w:val="36"/>
              </w:rPr>
              <w:fldChar w:fldCharType="begin"/>
            </w:r>
            <w:r w:rsidRPr="00C406BC">
              <w:rPr>
                <w:rFonts w:ascii="Traditional Arabic" w:hAnsi="Traditional Arabic" w:cs="Traditional Arabic"/>
                <w:noProof/>
                <w:webHidden/>
                <w:sz w:val="36"/>
                <w:szCs w:val="36"/>
              </w:rPr>
              <w:instrText xml:space="preserve"> PAGEREF _Toc168891642 \h </w:instrText>
            </w:r>
            <w:r w:rsidRPr="00C406BC">
              <w:rPr>
                <w:rFonts w:ascii="Traditional Arabic" w:hAnsi="Traditional Arabic" w:cs="Traditional Arabic"/>
                <w:noProof/>
                <w:webHidden/>
                <w:sz w:val="36"/>
                <w:szCs w:val="36"/>
              </w:rPr>
            </w:r>
            <w:r w:rsidRPr="00C406BC">
              <w:rPr>
                <w:rFonts w:ascii="Traditional Arabic" w:hAnsi="Traditional Arabic" w:cs="Traditional Arabic"/>
                <w:noProof/>
                <w:webHidden/>
                <w:sz w:val="36"/>
                <w:szCs w:val="36"/>
              </w:rPr>
              <w:fldChar w:fldCharType="separate"/>
            </w:r>
            <w:r w:rsidR="000534D9">
              <w:rPr>
                <w:rFonts w:ascii="Traditional Arabic" w:hAnsi="Traditional Arabic" w:cs="Traditional Arabic"/>
                <w:noProof/>
                <w:webHidden/>
                <w:sz w:val="36"/>
                <w:szCs w:val="36"/>
                <w:rtl/>
              </w:rPr>
              <w:t>10</w:t>
            </w:r>
            <w:r w:rsidRPr="00C406BC">
              <w:rPr>
                <w:rFonts w:ascii="Traditional Arabic" w:hAnsi="Traditional Arabic" w:cs="Traditional Arabic"/>
                <w:noProof/>
                <w:webHidden/>
                <w:sz w:val="36"/>
                <w:szCs w:val="36"/>
              </w:rPr>
              <w:fldChar w:fldCharType="end"/>
            </w:r>
          </w:hyperlink>
        </w:p>
        <w:p w14:paraId="6E62DB3C" w14:textId="66135FE4" w:rsidR="00286DB0" w:rsidRPr="00C406BC" w:rsidRDefault="00286DB0" w:rsidP="00C406BC">
          <w:pPr>
            <w:pStyle w:val="10"/>
            <w:tabs>
              <w:tab w:val="right" w:leader="dot" w:pos="9350"/>
            </w:tabs>
            <w:spacing w:line="240" w:lineRule="auto"/>
            <w:rPr>
              <w:rFonts w:ascii="Traditional Arabic" w:eastAsiaTheme="minorEastAsia" w:hAnsi="Traditional Arabic" w:cs="Traditional Arabic"/>
              <w:noProof/>
              <w:kern w:val="0"/>
              <w:sz w:val="36"/>
              <w:szCs w:val="36"/>
              <w14:ligatures w14:val="none"/>
            </w:rPr>
          </w:pPr>
          <w:hyperlink w:anchor="_Toc168891643" w:history="1">
            <w:r w:rsidRPr="00C406BC">
              <w:rPr>
                <w:rStyle w:val="Hyperlink"/>
                <w:rFonts w:ascii="Traditional Arabic" w:hAnsi="Traditional Arabic" w:cs="Traditional Arabic"/>
                <w:b/>
                <w:bCs/>
                <w:noProof/>
                <w:color w:val="auto"/>
                <w:sz w:val="36"/>
                <w:szCs w:val="36"/>
                <w:rtl/>
              </w:rPr>
              <w:t>هيكل البحث</w:t>
            </w:r>
            <w:r w:rsidRPr="00C406BC">
              <w:rPr>
                <w:rFonts w:ascii="Traditional Arabic" w:hAnsi="Traditional Arabic" w:cs="Traditional Arabic"/>
                <w:noProof/>
                <w:webHidden/>
                <w:sz w:val="36"/>
                <w:szCs w:val="36"/>
              </w:rPr>
              <w:tab/>
            </w:r>
            <w:r w:rsidRPr="00C406BC">
              <w:rPr>
                <w:rFonts w:ascii="Traditional Arabic" w:hAnsi="Traditional Arabic" w:cs="Traditional Arabic"/>
                <w:noProof/>
                <w:webHidden/>
                <w:sz w:val="36"/>
                <w:szCs w:val="36"/>
              </w:rPr>
              <w:fldChar w:fldCharType="begin"/>
            </w:r>
            <w:r w:rsidRPr="00C406BC">
              <w:rPr>
                <w:rFonts w:ascii="Traditional Arabic" w:hAnsi="Traditional Arabic" w:cs="Traditional Arabic"/>
                <w:noProof/>
                <w:webHidden/>
                <w:sz w:val="36"/>
                <w:szCs w:val="36"/>
              </w:rPr>
              <w:instrText xml:space="preserve"> PAGEREF _Toc168891643 \h </w:instrText>
            </w:r>
            <w:r w:rsidRPr="00C406BC">
              <w:rPr>
                <w:rFonts w:ascii="Traditional Arabic" w:hAnsi="Traditional Arabic" w:cs="Traditional Arabic"/>
                <w:noProof/>
                <w:webHidden/>
                <w:sz w:val="36"/>
                <w:szCs w:val="36"/>
              </w:rPr>
            </w:r>
            <w:r w:rsidRPr="00C406BC">
              <w:rPr>
                <w:rFonts w:ascii="Traditional Arabic" w:hAnsi="Traditional Arabic" w:cs="Traditional Arabic"/>
                <w:noProof/>
                <w:webHidden/>
                <w:sz w:val="36"/>
                <w:szCs w:val="36"/>
              </w:rPr>
              <w:fldChar w:fldCharType="separate"/>
            </w:r>
            <w:r w:rsidR="000534D9">
              <w:rPr>
                <w:rFonts w:ascii="Traditional Arabic" w:hAnsi="Traditional Arabic" w:cs="Traditional Arabic"/>
                <w:noProof/>
                <w:webHidden/>
                <w:sz w:val="36"/>
                <w:szCs w:val="36"/>
                <w:rtl/>
              </w:rPr>
              <w:t>11</w:t>
            </w:r>
            <w:r w:rsidRPr="00C406BC">
              <w:rPr>
                <w:rFonts w:ascii="Traditional Arabic" w:hAnsi="Traditional Arabic" w:cs="Traditional Arabic"/>
                <w:noProof/>
                <w:webHidden/>
                <w:sz w:val="36"/>
                <w:szCs w:val="36"/>
              </w:rPr>
              <w:fldChar w:fldCharType="end"/>
            </w:r>
          </w:hyperlink>
        </w:p>
        <w:p w14:paraId="61818129" w14:textId="5BCBC13D" w:rsidR="00286DB0" w:rsidRPr="00C406BC" w:rsidRDefault="00286DB0" w:rsidP="00C406BC">
          <w:pPr>
            <w:pStyle w:val="10"/>
            <w:tabs>
              <w:tab w:val="right" w:leader="dot" w:pos="9350"/>
            </w:tabs>
            <w:spacing w:line="240" w:lineRule="auto"/>
            <w:rPr>
              <w:rFonts w:ascii="Traditional Arabic" w:eastAsiaTheme="minorEastAsia" w:hAnsi="Traditional Arabic" w:cs="Traditional Arabic"/>
              <w:noProof/>
              <w:kern w:val="0"/>
              <w:sz w:val="36"/>
              <w:szCs w:val="36"/>
              <w14:ligatures w14:val="none"/>
            </w:rPr>
          </w:pPr>
          <w:hyperlink w:anchor="_Toc168891644" w:history="1">
            <w:r w:rsidRPr="00C406BC">
              <w:rPr>
                <w:rStyle w:val="Hyperlink"/>
                <w:rFonts w:ascii="Traditional Arabic" w:eastAsia="Calibri" w:hAnsi="Traditional Arabic" w:cs="Traditional Arabic"/>
                <w:b/>
                <w:bCs/>
                <w:noProof/>
                <w:color w:val="auto"/>
                <w:sz w:val="36"/>
                <w:szCs w:val="36"/>
                <w:rtl/>
              </w:rPr>
              <w:t>المبحث الأول: التقادم و</w:t>
            </w:r>
            <w:r w:rsidR="00E70979">
              <w:rPr>
                <w:rStyle w:val="Hyperlink"/>
                <w:rFonts w:ascii="Traditional Arabic" w:eastAsia="Calibri" w:hAnsi="Traditional Arabic" w:cs="Traditional Arabic" w:hint="cs"/>
                <w:b/>
                <w:bCs/>
                <w:noProof/>
                <w:color w:val="auto"/>
                <w:sz w:val="36"/>
                <w:szCs w:val="36"/>
                <w:rtl/>
              </w:rPr>
              <w:t>أ</w:t>
            </w:r>
            <w:r w:rsidRPr="00C406BC">
              <w:rPr>
                <w:rStyle w:val="Hyperlink"/>
                <w:rFonts w:ascii="Traditional Arabic" w:eastAsia="Calibri" w:hAnsi="Traditional Arabic" w:cs="Traditional Arabic"/>
                <w:b/>
                <w:bCs/>
                <w:noProof/>
                <w:color w:val="auto"/>
                <w:sz w:val="36"/>
                <w:szCs w:val="36"/>
                <w:rtl/>
              </w:rPr>
              <w:t>ثره في سقوط الحكم</w:t>
            </w:r>
            <w:r w:rsidRPr="00C406BC">
              <w:rPr>
                <w:rFonts w:ascii="Traditional Arabic" w:hAnsi="Traditional Arabic" w:cs="Traditional Arabic"/>
                <w:noProof/>
                <w:webHidden/>
                <w:sz w:val="36"/>
                <w:szCs w:val="36"/>
              </w:rPr>
              <w:tab/>
            </w:r>
            <w:r w:rsidRPr="00C406BC">
              <w:rPr>
                <w:rFonts w:ascii="Traditional Arabic" w:hAnsi="Traditional Arabic" w:cs="Traditional Arabic"/>
                <w:noProof/>
                <w:webHidden/>
                <w:sz w:val="36"/>
                <w:szCs w:val="36"/>
              </w:rPr>
              <w:fldChar w:fldCharType="begin"/>
            </w:r>
            <w:r w:rsidRPr="00C406BC">
              <w:rPr>
                <w:rFonts w:ascii="Traditional Arabic" w:hAnsi="Traditional Arabic" w:cs="Traditional Arabic"/>
                <w:noProof/>
                <w:webHidden/>
                <w:sz w:val="36"/>
                <w:szCs w:val="36"/>
              </w:rPr>
              <w:instrText xml:space="preserve"> PAGEREF _Toc168891644 \h </w:instrText>
            </w:r>
            <w:r w:rsidRPr="00C406BC">
              <w:rPr>
                <w:rFonts w:ascii="Traditional Arabic" w:hAnsi="Traditional Arabic" w:cs="Traditional Arabic"/>
                <w:noProof/>
                <w:webHidden/>
                <w:sz w:val="36"/>
                <w:szCs w:val="36"/>
              </w:rPr>
            </w:r>
            <w:r w:rsidRPr="00C406BC">
              <w:rPr>
                <w:rFonts w:ascii="Traditional Arabic" w:hAnsi="Traditional Arabic" w:cs="Traditional Arabic"/>
                <w:noProof/>
                <w:webHidden/>
                <w:sz w:val="36"/>
                <w:szCs w:val="36"/>
              </w:rPr>
              <w:fldChar w:fldCharType="separate"/>
            </w:r>
            <w:r w:rsidR="000534D9">
              <w:rPr>
                <w:rFonts w:ascii="Traditional Arabic" w:hAnsi="Traditional Arabic" w:cs="Traditional Arabic"/>
                <w:noProof/>
                <w:webHidden/>
                <w:sz w:val="36"/>
                <w:szCs w:val="36"/>
                <w:rtl/>
              </w:rPr>
              <w:t>14</w:t>
            </w:r>
            <w:r w:rsidRPr="00C406BC">
              <w:rPr>
                <w:rFonts w:ascii="Traditional Arabic" w:hAnsi="Traditional Arabic" w:cs="Traditional Arabic"/>
                <w:noProof/>
                <w:webHidden/>
                <w:sz w:val="36"/>
                <w:szCs w:val="36"/>
              </w:rPr>
              <w:fldChar w:fldCharType="end"/>
            </w:r>
          </w:hyperlink>
        </w:p>
        <w:p w14:paraId="4044DF2E" w14:textId="3636D809" w:rsidR="00286DB0" w:rsidRPr="00C406BC" w:rsidRDefault="00286DB0" w:rsidP="00C406BC">
          <w:pPr>
            <w:pStyle w:val="10"/>
            <w:tabs>
              <w:tab w:val="right" w:leader="dot" w:pos="9350"/>
            </w:tabs>
            <w:spacing w:line="240" w:lineRule="auto"/>
            <w:rPr>
              <w:rFonts w:ascii="Traditional Arabic" w:eastAsiaTheme="minorEastAsia" w:hAnsi="Traditional Arabic" w:cs="Traditional Arabic"/>
              <w:noProof/>
              <w:kern w:val="0"/>
              <w:sz w:val="36"/>
              <w:szCs w:val="36"/>
              <w14:ligatures w14:val="none"/>
            </w:rPr>
          </w:pPr>
          <w:hyperlink w:anchor="_Toc168891645" w:history="1">
            <w:r w:rsidRPr="00C406BC">
              <w:rPr>
                <w:rStyle w:val="Hyperlink"/>
                <w:rFonts w:ascii="Traditional Arabic" w:eastAsia="Calibri" w:hAnsi="Traditional Arabic" w:cs="Traditional Arabic"/>
                <w:b/>
                <w:bCs/>
                <w:noProof/>
                <w:color w:val="auto"/>
                <w:sz w:val="36"/>
                <w:szCs w:val="36"/>
                <w:rtl/>
              </w:rPr>
              <w:t>المطلب الأول: تعريف التقادم</w:t>
            </w:r>
            <w:r w:rsidR="00E70979">
              <w:rPr>
                <w:rStyle w:val="Hyperlink"/>
                <w:rFonts w:ascii="Traditional Arabic" w:eastAsia="Calibri" w:hAnsi="Traditional Arabic" w:cs="Traditional Arabic" w:hint="cs"/>
                <w:b/>
                <w:bCs/>
                <w:noProof/>
                <w:color w:val="auto"/>
                <w:sz w:val="36"/>
                <w:szCs w:val="36"/>
                <w:rtl/>
              </w:rPr>
              <w:t>،</w:t>
            </w:r>
            <w:r w:rsidRPr="00C406BC">
              <w:rPr>
                <w:rStyle w:val="Hyperlink"/>
                <w:rFonts w:ascii="Traditional Arabic" w:eastAsia="Calibri" w:hAnsi="Traditional Arabic" w:cs="Traditional Arabic"/>
                <w:b/>
                <w:bCs/>
                <w:noProof/>
                <w:color w:val="auto"/>
                <w:sz w:val="36"/>
                <w:szCs w:val="36"/>
                <w:rtl/>
              </w:rPr>
              <w:t xml:space="preserve"> وبيان </w:t>
            </w:r>
            <w:r w:rsidR="00CF35C4">
              <w:rPr>
                <w:rStyle w:val="Hyperlink"/>
                <w:rFonts w:ascii="Traditional Arabic" w:eastAsia="Calibri" w:hAnsi="Traditional Arabic" w:cs="Traditional Arabic" w:hint="cs"/>
                <w:b/>
                <w:bCs/>
                <w:noProof/>
                <w:color w:val="auto"/>
                <w:sz w:val="36"/>
                <w:szCs w:val="36"/>
                <w:rtl/>
              </w:rPr>
              <w:t>أ</w:t>
            </w:r>
            <w:r w:rsidRPr="00C406BC">
              <w:rPr>
                <w:rStyle w:val="Hyperlink"/>
                <w:rFonts w:ascii="Traditional Arabic" w:eastAsia="Calibri" w:hAnsi="Traditional Arabic" w:cs="Traditional Arabic"/>
                <w:b/>
                <w:bCs/>
                <w:noProof/>
                <w:color w:val="auto"/>
                <w:sz w:val="36"/>
                <w:szCs w:val="36"/>
                <w:rtl/>
              </w:rPr>
              <w:t>نو</w:t>
            </w:r>
            <w:r w:rsidR="00CF35C4">
              <w:rPr>
                <w:rStyle w:val="Hyperlink"/>
                <w:rFonts w:ascii="Traditional Arabic" w:eastAsia="Calibri" w:hAnsi="Traditional Arabic" w:cs="Traditional Arabic" w:hint="cs"/>
                <w:b/>
                <w:bCs/>
                <w:noProof/>
                <w:color w:val="auto"/>
                <w:sz w:val="36"/>
                <w:szCs w:val="36"/>
                <w:rtl/>
              </w:rPr>
              <w:t>ا</w:t>
            </w:r>
            <w:r w:rsidRPr="00C406BC">
              <w:rPr>
                <w:rStyle w:val="Hyperlink"/>
                <w:rFonts w:ascii="Traditional Arabic" w:eastAsia="Calibri" w:hAnsi="Traditional Arabic" w:cs="Traditional Arabic"/>
                <w:b/>
                <w:bCs/>
                <w:noProof/>
                <w:color w:val="auto"/>
                <w:sz w:val="36"/>
                <w:szCs w:val="36"/>
                <w:rtl/>
              </w:rPr>
              <w:t>عه</w:t>
            </w:r>
            <w:r w:rsidRPr="00C406BC">
              <w:rPr>
                <w:rFonts w:ascii="Traditional Arabic" w:hAnsi="Traditional Arabic" w:cs="Traditional Arabic"/>
                <w:noProof/>
                <w:webHidden/>
                <w:sz w:val="36"/>
                <w:szCs w:val="36"/>
              </w:rPr>
              <w:tab/>
            </w:r>
            <w:r w:rsidRPr="00C406BC">
              <w:rPr>
                <w:rFonts w:ascii="Traditional Arabic" w:hAnsi="Traditional Arabic" w:cs="Traditional Arabic"/>
                <w:noProof/>
                <w:webHidden/>
                <w:sz w:val="36"/>
                <w:szCs w:val="36"/>
              </w:rPr>
              <w:fldChar w:fldCharType="begin"/>
            </w:r>
            <w:r w:rsidRPr="00C406BC">
              <w:rPr>
                <w:rFonts w:ascii="Traditional Arabic" w:hAnsi="Traditional Arabic" w:cs="Traditional Arabic"/>
                <w:noProof/>
                <w:webHidden/>
                <w:sz w:val="36"/>
                <w:szCs w:val="36"/>
              </w:rPr>
              <w:instrText xml:space="preserve"> PAGEREF _Toc168891645 \h </w:instrText>
            </w:r>
            <w:r w:rsidRPr="00C406BC">
              <w:rPr>
                <w:rFonts w:ascii="Traditional Arabic" w:hAnsi="Traditional Arabic" w:cs="Traditional Arabic"/>
                <w:noProof/>
                <w:webHidden/>
                <w:sz w:val="36"/>
                <w:szCs w:val="36"/>
              </w:rPr>
            </w:r>
            <w:r w:rsidRPr="00C406BC">
              <w:rPr>
                <w:rFonts w:ascii="Traditional Arabic" w:hAnsi="Traditional Arabic" w:cs="Traditional Arabic"/>
                <w:noProof/>
                <w:webHidden/>
                <w:sz w:val="36"/>
                <w:szCs w:val="36"/>
              </w:rPr>
              <w:fldChar w:fldCharType="separate"/>
            </w:r>
            <w:r w:rsidR="000534D9">
              <w:rPr>
                <w:rFonts w:ascii="Traditional Arabic" w:hAnsi="Traditional Arabic" w:cs="Traditional Arabic"/>
                <w:noProof/>
                <w:webHidden/>
                <w:sz w:val="36"/>
                <w:szCs w:val="36"/>
                <w:rtl/>
              </w:rPr>
              <w:t>14</w:t>
            </w:r>
            <w:r w:rsidRPr="00C406BC">
              <w:rPr>
                <w:rFonts w:ascii="Traditional Arabic" w:hAnsi="Traditional Arabic" w:cs="Traditional Arabic"/>
                <w:noProof/>
                <w:webHidden/>
                <w:sz w:val="36"/>
                <w:szCs w:val="36"/>
              </w:rPr>
              <w:fldChar w:fldCharType="end"/>
            </w:r>
          </w:hyperlink>
        </w:p>
        <w:p w14:paraId="2D32C705" w14:textId="20096AB5" w:rsidR="00286DB0" w:rsidRPr="00C406BC" w:rsidRDefault="00286DB0" w:rsidP="00C406BC">
          <w:pPr>
            <w:pStyle w:val="10"/>
            <w:tabs>
              <w:tab w:val="right" w:leader="dot" w:pos="9350"/>
            </w:tabs>
            <w:spacing w:line="240" w:lineRule="auto"/>
            <w:rPr>
              <w:rFonts w:ascii="Traditional Arabic" w:eastAsiaTheme="minorEastAsia" w:hAnsi="Traditional Arabic" w:cs="Traditional Arabic"/>
              <w:noProof/>
              <w:kern w:val="0"/>
              <w:sz w:val="36"/>
              <w:szCs w:val="36"/>
              <w14:ligatures w14:val="none"/>
            </w:rPr>
          </w:pPr>
          <w:hyperlink w:anchor="_Toc168891646" w:history="1">
            <w:r w:rsidRPr="00C406BC">
              <w:rPr>
                <w:rStyle w:val="Hyperlink"/>
                <w:rFonts w:ascii="Traditional Arabic" w:eastAsia="Calibri" w:hAnsi="Traditional Arabic" w:cs="Traditional Arabic"/>
                <w:b/>
                <w:bCs/>
                <w:noProof/>
                <w:color w:val="auto"/>
                <w:sz w:val="36"/>
                <w:szCs w:val="36"/>
                <w:rtl/>
              </w:rPr>
              <w:t xml:space="preserve">المطلب الثاني: </w:t>
            </w:r>
            <w:r w:rsidR="00D170AF">
              <w:rPr>
                <w:rFonts w:ascii="Traditional Arabic" w:hAnsi="Traditional Arabic" w:cs="Traditional Arabic" w:hint="cs"/>
                <w:sz w:val="40"/>
                <w:szCs w:val="40"/>
                <w:rtl/>
              </w:rPr>
              <w:t>علاقة التقادم بالنظام العام.</w:t>
            </w:r>
            <w:r w:rsidRPr="00C406BC">
              <w:rPr>
                <w:rFonts w:ascii="Traditional Arabic" w:hAnsi="Traditional Arabic" w:cs="Traditional Arabic"/>
                <w:noProof/>
                <w:webHidden/>
                <w:sz w:val="36"/>
                <w:szCs w:val="36"/>
              </w:rPr>
              <w:tab/>
            </w:r>
            <w:r w:rsidRPr="00C406BC">
              <w:rPr>
                <w:rFonts w:ascii="Traditional Arabic" w:hAnsi="Traditional Arabic" w:cs="Traditional Arabic"/>
                <w:noProof/>
                <w:webHidden/>
                <w:sz w:val="36"/>
                <w:szCs w:val="36"/>
              </w:rPr>
              <w:fldChar w:fldCharType="begin"/>
            </w:r>
            <w:r w:rsidRPr="00C406BC">
              <w:rPr>
                <w:rFonts w:ascii="Traditional Arabic" w:hAnsi="Traditional Arabic" w:cs="Traditional Arabic"/>
                <w:noProof/>
                <w:webHidden/>
                <w:sz w:val="36"/>
                <w:szCs w:val="36"/>
              </w:rPr>
              <w:instrText xml:space="preserve"> PAGEREF _Toc168891646 \h </w:instrText>
            </w:r>
            <w:r w:rsidRPr="00C406BC">
              <w:rPr>
                <w:rFonts w:ascii="Traditional Arabic" w:hAnsi="Traditional Arabic" w:cs="Traditional Arabic"/>
                <w:noProof/>
                <w:webHidden/>
                <w:sz w:val="36"/>
                <w:szCs w:val="36"/>
              </w:rPr>
            </w:r>
            <w:r w:rsidRPr="00C406BC">
              <w:rPr>
                <w:rFonts w:ascii="Traditional Arabic" w:hAnsi="Traditional Arabic" w:cs="Traditional Arabic"/>
                <w:noProof/>
                <w:webHidden/>
                <w:sz w:val="36"/>
                <w:szCs w:val="36"/>
              </w:rPr>
              <w:fldChar w:fldCharType="separate"/>
            </w:r>
            <w:r w:rsidR="000534D9">
              <w:rPr>
                <w:rFonts w:ascii="Traditional Arabic" w:hAnsi="Traditional Arabic" w:cs="Traditional Arabic"/>
                <w:noProof/>
                <w:webHidden/>
                <w:sz w:val="36"/>
                <w:szCs w:val="36"/>
                <w:rtl/>
              </w:rPr>
              <w:t>25</w:t>
            </w:r>
            <w:r w:rsidRPr="00C406BC">
              <w:rPr>
                <w:rFonts w:ascii="Traditional Arabic" w:hAnsi="Traditional Arabic" w:cs="Traditional Arabic"/>
                <w:noProof/>
                <w:webHidden/>
                <w:sz w:val="36"/>
                <w:szCs w:val="36"/>
              </w:rPr>
              <w:fldChar w:fldCharType="end"/>
            </w:r>
          </w:hyperlink>
        </w:p>
        <w:p w14:paraId="1009E675" w14:textId="36C06BA1" w:rsidR="00286DB0" w:rsidRPr="00C406BC" w:rsidRDefault="00286DB0" w:rsidP="00C406BC">
          <w:pPr>
            <w:pStyle w:val="10"/>
            <w:tabs>
              <w:tab w:val="right" w:leader="dot" w:pos="9350"/>
            </w:tabs>
            <w:spacing w:line="240" w:lineRule="auto"/>
            <w:rPr>
              <w:rFonts w:ascii="Traditional Arabic" w:eastAsiaTheme="minorEastAsia" w:hAnsi="Traditional Arabic" w:cs="Traditional Arabic"/>
              <w:noProof/>
              <w:kern w:val="0"/>
              <w:sz w:val="36"/>
              <w:szCs w:val="36"/>
              <w14:ligatures w14:val="none"/>
            </w:rPr>
          </w:pPr>
          <w:hyperlink w:anchor="_Toc168891647" w:history="1">
            <w:r w:rsidRPr="00C406BC">
              <w:rPr>
                <w:rStyle w:val="Hyperlink"/>
                <w:rFonts w:ascii="Traditional Arabic" w:eastAsia="Calibri" w:hAnsi="Traditional Arabic" w:cs="Traditional Arabic"/>
                <w:b/>
                <w:bCs/>
                <w:noProof/>
                <w:color w:val="auto"/>
                <w:sz w:val="36"/>
                <w:szCs w:val="36"/>
                <w:rtl/>
              </w:rPr>
              <w:t>المطلب الثالث: ال</w:t>
            </w:r>
            <w:r w:rsidR="00E70979">
              <w:rPr>
                <w:rStyle w:val="Hyperlink"/>
                <w:rFonts w:ascii="Traditional Arabic" w:eastAsia="Calibri" w:hAnsi="Traditional Arabic" w:cs="Traditional Arabic" w:hint="cs"/>
                <w:b/>
                <w:bCs/>
                <w:noProof/>
                <w:color w:val="auto"/>
                <w:sz w:val="36"/>
                <w:szCs w:val="36"/>
                <w:rtl/>
              </w:rPr>
              <w:t>أ</w:t>
            </w:r>
            <w:r w:rsidRPr="00C406BC">
              <w:rPr>
                <w:rStyle w:val="Hyperlink"/>
                <w:rFonts w:ascii="Traditional Arabic" w:eastAsia="Calibri" w:hAnsi="Traditional Arabic" w:cs="Traditional Arabic"/>
                <w:b/>
                <w:bCs/>
                <w:noProof/>
                <w:color w:val="auto"/>
                <w:sz w:val="36"/>
                <w:szCs w:val="36"/>
                <w:rtl/>
              </w:rPr>
              <w:t>ساس الشرعي للتقادم</w:t>
            </w:r>
            <w:r w:rsidR="00E70979">
              <w:rPr>
                <w:rStyle w:val="Hyperlink"/>
                <w:rFonts w:ascii="Traditional Arabic" w:eastAsia="Calibri" w:hAnsi="Traditional Arabic" w:cs="Traditional Arabic" w:hint="cs"/>
                <w:b/>
                <w:bCs/>
                <w:noProof/>
                <w:color w:val="auto"/>
                <w:sz w:val="36"/>
                <w:szCs w:val="36"/>
                <w:rtl/>
              </w:rPr>
              <w:t>،</w:t>
            </w:r>
            <w:r w:rsidRPr="00C406BC">
              <w:rPr>
                <w:rStyle w:val="Hyperlink"/>
                <w:rFonts w:ascii="Traditional Arabic" w:eastAsia="Calibri" w:hAnsi="Traditional Arabic" w:cs="Traditional Arabic"/>
                <w:b/>
                <w:bCs/>
                <w:noProof/>
                <w:color w:val="auto"/>
                <w:sz w:val="36"/>
                <w:szCs w:val="36"/>
                <w:rtl/>
              </w:rPr>
              <w:t xml:space="preserve"> ومدته</w:t>
            </w:r>
            <w:r w:rsidRPr="00C406BC">
              <w:rPr>
                <w:rFonts w:ascii="Traditional Arabic" w:hAnsi="Traditional Arabic" w:cs="Traditional Arabic"/>
                <w:noProof/>
                <w:webHidden/>
                <w:sz w:val="36"/>
                <w:szCs w:val="36"/>
              </w:rPr>
              <w:tab/>
            </w:r>
            <w:r w:rsidRPr="00C406BC">
              <w:rPr>
                <w:rFonts w:ascii="Traditional Arabic" w:hAnsi="Traditional Arabic" w:cs="Traditional Arabic"/>
                <w:noProof/>
                <w:webHidden/>
                <w:sz w:val="36"/>
                <w:szCs w:val="36"/>
              </w:rPr>
              <w:fldChar w:fldCharType="begin"/>
            </w:r>
            <w:r w:rsidRPr="00C406BC">
              <w:rPr>
                <w:rFonts w:ascii="Traditional Arabic" w:hAnsi="Traditional Arabic" w:cs="Traditional Arabic"/>
                <w:noProof/>
                <w:webHidden/>
                <w:sz w:val="36"/>
                <w:szCs w:val="36"/>
              </w:rPr>
              <w:instrText xml:space="preserve"> PAGEREF _Toc168891647 \h </w:instrText>
            </w:r>
            <w:r w:rsidRPr="00C406BC">
              <w:rPr>
                <w:rFonts w:ascii="Traditional Arabic" w:hAnsi="Traditional Arabic" w:cs="Traditional Arabic"/>
                <w:noProof/>
                <w:webHidden/>
                <w:sz w:val="36"/>
                <w:szCs w:val="36"/>
              </w:rPr>
            </w:r>
            <w:r w:rsidRPr="00C406BC">
              <w:rPr>
                <w:rFonts w:ascii="Traditional Arabic" w:hAnsi="Traditional Arabic" w:cs="Traditional Arabic"/>
                <w:noProof/>
                <w:webHidden/>
                <w:sz w:val="36"/>
                <w:szCs w:val="36"/>
              </w:rPr>
              <w:fldChar w:fldCharType="separate"/>
            </w:r>
            <w:r w:rsidR="000534D9">
              <w:rPr>
                <w:rFonts w:ascii="Traditional Arabic" w:hAnsi="Traditional Arabic" w:cs="Traditional Arabic"/>
                <w:noProof/>
                <w:webHidden/>
                <w:sz w:val="36"/>
                <w:szCs w:val="36"/>
                <w:rtl/>
              </w:rPr>
              <w:t>38</w:t>
            </w:r>
            <w:r w:rsidRPr="00C406BC">
              <w:rPr>
                <w:rFonts w:ascii="Traditional Arabic" w:hAnsi="Traditional Arabic" w:cs="Traditional Arabic"/>
                <w:noProof/>
                <w:webHidden/>
                <w:sz w:val="36"/>
                <w:szCs w:val="36"/>
              </w:rPr>
              <w:fldChar w:fldCharType="end"/>
            </w:r>
          </w:hyperlink>
        </w:p>
        <w:p w14:paraId="66DACF99" w14:textId="660DAA52" w:rsidR="00286DB0" w:rsidRPr="00C406BC" w:rsidRDefault="00286DB0" w:rsidP="00C406BC">
          <w:pPr>
            <w:pStyle w:val="10"/>
            <w:tabs>
              <w:tab w:val="right" w:leader="dot" w:pos="9350"/>
            </w:tabs>
            <w:spacing w:line="240" w:lineRule="auto"/>
            <w:rPr>
              <w:rFonts w:ascii="Traditional Arabic" w:eastAsiaTheme="minorEastAsia" w:hAnsi="Traditional Arabic" w:cs="Traditional Arabic"/>
              <w:noProof/>
              <w:kern w:val="0"/>
              <w:sz w:val="36"/>
              <w:szCs w:val="36"/>
              <w14:ligatures w14:val="none"/>
            </w:rPr>
          </w:pPr>
          <w:hyperlink w:anchor="_Toc168891648" w:history="1">
            <w:r w:rsidRPr="00C406BC">
              <w:rPr>
                <w:rStyle w:val="Hyperlink"/>
                <w:rFonts w:ascii="Traditional Arabic" w:eastAsia="Calibri" w:hAnsi="Traditional Arabic" w:cs="Traditional Arabic"/>
                <w:b/>
                <w:bCs/>
                <w:noProof/>
                <w:color w:val="auto"/>
                <w:sz w:val="36"/>
                <w:szCs w:val="36"/>
                <w:rtl/>
              </w:rPr>
              <w:t>المبحث الثاني: التقادم في نظام المحاكم التجارية السعودية</w:t>
            </w:r>
            <w:r w:rsidRPr="00C406BC">
              <w:rPr>
                <w:rFonts w:ascii="Traditional Arabic" w:hAnsi="Traditional Arabic" w:cs="Traditional Arabic"/>
                <w:noProof/>
                <w:webHidden/>
                <w:sz w:val="36"/>
                <w:szCs w:val="36"/>
              </w:rPr>
              <w:tab/>
            </w:r>
            <w:r w:rsidRPr="00C406BC">
              <w:rPr>
                <w:rFonts w:ascii="Traditional Arabic" w:hAnsi="Traditional Arabic" w:cs="Traditional Arabic"/>
                <w:noProof/>
                <w:webHidden/>
                <w:sz w:val="36"/>
                <w:szCs w:val="36"/>
              </w:rPr>
              <w:fldChar w:fldCharType="begin"/>
            </w:r>
            <w:r w:rsidRPr="00C406BC">
              <w:rPr>
                <w:rFonts w:ascii="Traditional Arabic" w:hAnsi="Traditional Arabic" w:cs="Traditional Arabic"/>
                <w:noProof/>
                <w:webHidden/>
                <w:sz w:val="36"/>
                <w:szCs w:val="36"/>
              </w:rPr>
              <w:instrText xml:space="preserve"> PAGEREF _Toc168891648 \h </w:instrText>
            </w:r>
            <w:r w:rsidRPr="00C406BC">
              <w:rPr>
                <w:rFonts w:ascii="Traditional Arabic" w:hAnsi="Traditional Arabic" w:cs="Traditional Arabic"/>
                <w:noProof/>
                <w:webHidden/>
                <w:sz w:val="36"/>
                <w:szCs w:val="36"/>
              </w:rPr>
            </w:r>
            <w:r w:rsidRPr="00C406BC">
              <w:rPr>
                <w:rFonts w:ascii="Traditional Arabic" w:hAnsi="Traditional Arabic" w:cs="Traditional Arabic"/>
                <w:noProof/>
                <w:webHidden/>
                <w:sz w:val="36"/>
                <w:szCs w:val="36"/>
              </w:rPr>
              <w:fldChar w:fldCharType="separate"/>
            </w:r>
            <w:r w:rsidR="000534D9">
              <w:rPr>
                <w:rFonts w:ascii="Traditional Arabic" w:hAnsi="Traditional Arabic" w:cs="Traditional Arabic"/>
                <w:noProof/>
                <w:webHidden/>
                <w:sz w:val="36"/>
                <w:szCs w:val="36"/>
                <w:rtl/>
              </w:rPr>
              <w:t>52</w:t>
            </w:r>
            <w:r w:rsidRPr="00C406BC">
              <w:rPr>
                <w:rFonts w:ascii="Traditional Arabic" w:hAnsi="Traditional Arabic" w:cs="Traditional Arabic"/>
                <w:noProof/>
                <w:webHidden/>
                <w:sz w:val="36"/>
                <w:szCs w:val="36"/>
              </w:rPr>
              <w:fldChar w:fldCharType="end"/>
            </w:r>
          </w:hyperlink>
        </w:p>
        <w:p w14:paraId="735B0A27" w14:textId="3D25129B" w:rsidR="00286DB0" w:rsidRPr="00C406BC" w:rsidRDefault="00286DB0" w:rsidP="00C406BC">
          <w:pPr>
            <w:pStyle w:val="10"/>
            <w:tabs>
              <w:tab w:val="right" w:leader="dot" w:pos="9350"/>
            </w:tabs>
            <w:spacing w:line="240" w:lineRule="auto"/>
            <w:rPr>
              <w:rFonts w:ascii="Traditional Arabic" w:eastAsiaTheme="minorEastAsia" w:hAnsi="Traditional Arabic" w:cs="Traditional Arabic"/>
              <w:noProof/>
              <w:kern w:val="0"/>
              <w:sz w:val="36"/>
              <w:szCs w:val="36"/>
              <w14:ligatures w14:val="none"/>
            </w:rPr>
          </w:pPr>
          <w:hyperlink w:anchor="_Toc168891649" w:history="1">
            <w:r w:rsidRPr="00C406BC">
              <w:rPr>
                <w:rStyle w:val="Hyperlink"/>
                <w:rFonts w:ascii="Traditional Arabic" w:eastAsia="Calibri" w:hAnsi="Traditional Arabic" w:cs="Traditional Arabic"/>
                <w:b/>
                <w:bCs/>
                <w:noProof/>
                <w:color w:val="auto"/>
                <w:sz w:val="36"/>
                <w:szCs w:val="36"/>
                <w:rtl/>
              </w:rPr>
              <w:t>المطلب الأول:</w:t>
            </w:r>
            <w:r w:rsidRPr="00C406BC">
              <w:rPr>
                <w:rStyle w:val="Hyperlink"/>
                <w:rFonts w:ascii="Traditional Arabic" w:eastAsia="Calibri" w:hAnsi="Traditional Arabic" w:cs="Traditional Arabic"/>
                <w:b/>
                <w:bCs/>
                <w:noProof/>
                <w:color w:val="auto"/>
                <w:sz w:val="36"/>
                <w:szCs w:val="36"/>
                <w:rtl/>
                <w:lang w:bidi="ar-EG"/>
              </w:rPr>
              <w:t xml:space="preserve"> المبدأ العام للتقادم في العقود التجارية</w:t>
            </w:r>
            <w:r w:rsidRPr="00C406BC">
              <w:rPr>
                <w:rFonts w:ascii="Traditional Arabic" w:hAnsi="Traditional Arabic" w:cs="Traditional Arabic"/>
                <w:noProof/>
                <w:webHidden/>
                <w:sz w:val="36"/>
                <w:szCs w:val="36"/>
              </w:rPr>
              <w:tab/>
            </w:r>
            <w:r w:rsidRPr="00C406BC">
              <w:rPr>
                <w:rFonts w:ascii="Traditional Arabic" w:hAnsi="Traditional Arabic" w:cs="Traditional Arabic"/>
                <w:noProof/>
                <w:webHidden/>
                <w:sz w:val="36"/>
                <w:szCs w:val="36"/>
              </w:rPr>
              <w:fldChar w:fldCharType="begin"/>
            </w:r>
            <w:r w:rsidRPr="00C406BC">
              <w:rPr>
                <w:rFonts w:ascii="Traditional Arabic" w:hAnsi="Traditional Arabic" w:cs="Traditional Arabic"/>
                <w:noProof/>
                <w:webHidden/>
                <w:sz w:val="36"/>
                <w:szCs w:val="36"/>
              </w:rPr>
              <w:instrText xml:space="preserve"> PAGEREF _Toc168891649 \h </w:instrText>
            </w:r>
            <w:r w:rsidRPr="00C406BC">
              <w:rPr>
                <w:rFonts w:ascii="Traditional Arabic" w:hAnsi="Traditional Arabic" w:cs="Traditional Arabic"/>
                <w:noProof/>
                <w:webHidden/>
                <w:sz w:val="36"/>
                <w:szCs w:val="36"/>
              </w:rPr>
            </w:r>
            <w:r w:rsidRPr="00C406BC">
              <w:rPr>
                <w:rFonts w:ascii="Traditional Arabic" w:hAnsi="Traditional Arabic" w:cs="Traditional Arabic"/>
                <w:noProof/>
                <w:webHidden/>
                <w:sz w:val="36"/>
                <w:szCs w:val="36"/>
              </w:rPr>
              <w:fldChar w:fldCharType="separate"/>
            </w:r>
            <w:r w:rsidR="000534D9">
              <w:rPr>
                <w:rFonts w:ascii="Traditional Arabic" w:hAnsi="Traditional Arabic" w:cs="Traditional Arabic"/>
                <w:noProof/>
                <w:webHidden/>
                <w:sz w:val="36"/>
                <w:szCs w:val="36"/>
                <w:rtl/>
              </w:rPr>
              <w:t>52</w:t>
            </w:r>
            <w:r w:rsidRPr="00C406BC">
              <w:rPr>
                <w:rFonts w:ascii="Traditional Arabic" w:hAnsi="Traditional Arabic" w:cs="Traditional Arabic"/>
                <w:noProof/>
                <w:webHidden/>
                <w:sz w:val="36"/>
                <w:szCs w:val="36"/>
              </w:rPr>
              <w:fldChar w:fldCharType="end"/>
            </w:r>
          </w:hyperlink>
        </w:p>
        <w:p w14:paraId="06A177C0" w14:textId="21E999B3" w:rsidR="00286DB0" w:rsidRPr="00C406BC" w:rsidRDefault="00286DB0" w:rsidP="00C406BC">
          <w:pPr>
            <w:pStyle w:val="10"/>
            <w:tabs>
              <w:tab w:val="right" w:leader="dot" w:pos="9350"/>
            </w:tabs>
            <w:spacing w:line="240" w:lineRule="auto"/>
            <w:rPr>
              <w:rFonts w:ascii="Traditional Arabic" w:eastAsiaTheme="minorEastAsia" w:hAnsi="Traditional Arabic" w:cs="Traditional Arabic"/>
              <w:noProof/>
              <w:kern w:val="0"/>
              <w:sz w:val="36"/>
              <w:szCs w:val="36"/>
              <w14:ligatures w14:val="none"/>
            </w:rPr>
          </w:pPr>
          <w:hyperlink w:anchor="_Toc168891650" w:history="1">
            <w:r w:rsidRPr="00C406BC">
              <w:rPr>
                <w:rStyle w:val="Hyperlink"/>
                <w:rFonts w:ascii="Traditional Arabic" w:eastAsia="Calibri" w:hAnsi="Traditional Arabic" w:cs="Traditional Arabic"/>
                <w:b/>
                <w:bCs/>
                <w:noProof/>
                <w:color w:val="auto"/>
                <w:sz w:val="36"/>
                <w:szCs w:val="36"/>
                <w:rtl/>
              </w:rPr>
              <w:t>المطلب الثاني:  الاستثناءات الواردة على المبدأ العام في مدونة التجارة</w:t>
            </w:r>
            <w:r w:rsidRPr="00C406BC">
              <w:rPr>
                <w:rFonts w:ascii="Traditional Arabic" w:hAnsi="Traditional Arabic" w:cs="Traditional Arabic"/>
                <w:noProof/>
                <w:webHidden/>
                <w:sz w:val="36"/>
                <w:szCs w:val="36"/>
              </w:rPr>
              <w:tab/>
            </w:r>
            <w:r w:rsidRPr="00C406BC">
              <w:rPr>
                <w:rFonts w:ascii="Traditional Arabic" w:hAnsi="Traditional Arabic" w:cs="Traditional Arabic"/>
                <w:noProof/>
                <w:webHidden/>
                <w:sz w:val="36"/>
                <w:szCs w:val="36"/>
              </w:rPr>
              <w:fldChar w:fldCharType="begin"/>
            </w:r>
            <w:r w:rsidRPr="00C406BC">
              <w:rPr>
                <w:rFonts w:ascii="Traditional Arabic" w:hAnsi="Traditional Arabic" w:cs="Traditional Arabic"/>
                <w:noProof/>
                <w:webHidden/>
                <w:sz w:val="36"/>
                <w:szCs w:val="36"/>
              </w:rPr>
              <w:instrText xml:space="preserve"> PAGEREF _Toc168891650 \h </w:instrText>
            </w:r>
            <w:r w:rsidRPr="00C406BC">
              <w:rPr>
                <w:rFonts w:ascii="Traditional Arabic" w:hAnsi="Traditional Arabic" w:cs="Traditional Arabic"/>
                <w:noProof/>
                <w:webHidden/>
                <w:sz w:val="36"/>
                <w:szCs w:val="36"/>
              </w:rPr>
            </w:r>
            <w:r w:rsidRPr="00C406BC">
              <w:rPr>
                <w:rFonts w:ascii="Traditional Arabic" w:hAnsi="Traditional Arabic" w:cs="Traditional Arabic"/>
                <w:noProof/>
                <w:webHidden/>
                <w:sz w:val="36"/>
                <w:szCs w:val="36"/>
              </w:rPr>
              <w:fldChar w:fldCharType="separate"/>
            </w:r>
            <w:r w:rsidR="000534D9">
              <w:rPr>
                <w:rFonts w:ascii="Traditional Arabic" w:hAnsi="Traditional Arabic" w:cs="Traditional Arabic"/>
                <w:noProof/>
                <w:webHidden/>
                <w:sz w:val="36"/>
                <w:szCs w:val="36"/>
                <w:rtl/>
              </w:rPr>
              <w:t>56</w:t>
            </w:r>
            <w:r w:rsidRPr="00C406BC">
              <w:rPr>
                <w:rFonts w:ascii="Traditional Arabic" w:hAnsi="Traditional Arabic" w:cs="Traditional Arabic"/>
                <w:noProof/>
                <w:webHidden/>
                <w:sz w:val="36"/>
                <w:szCs w:val="36"/>
              </w:rPr>
              <w:fldChar w:fldCharType="end"/>
            </w:r>
          </w:hyperlink>
        </w:p>
        <w:p w14:paraId="7B7BC4B5" w14:textId="18D13B15" w:rsidR="00286DB0" w:rsidRPr="00C406BC" w:rsidRDefault="00286DB0" w:rsidP="00C406BC">
          <w:pPr>
            <w:pStyle w:val="10"/>
            <w:tabs>
              <w:tab w:val="right" w:leader="dot" w:pos="9350"/>
            </w:tabs>
            <w:spacing w:line="240" w:lineRule="auto"/>
            <w:rPr>
              <w:rFonts w:ascii="Traditional Arabic" w:eastAsiaTheme="minorEastAsia" w:hAnsi="Traditional Arabic" w:cs="Traditional Arabic"/>
              <w:noProof/>
              <w:kern w:val="0"/>
              <w:sz w:val="36"/>
              <w:szCs w:val="36"/>
              <w14:ligatures w14:val="none"/>
            </w:rPr>
          </w:pPr>
          <w:hyperlink w:anchor="_Toc168891651" w:history="1">
            <w:r w:rsidRPr="00C406BC">
              <w:rPr>
                <w:rStyle w:val="Hyperlink"/>
                <w:rFonts w:ascii="Traditional Arabic" w:eastAsia="Calibri" w:hAnsi="Traditional Arabic" w:cs="Traditional Arabic"/>
                <w:b/>
                <w:bCs/>
                <w:noProof/>
                <w:color w:val="auto"/>
                <w:sz w:val="36"/>
                <w:szCs w:val="36"/>
                <w:rtl/>
              </w:rPr>
              <w:t>المطلب الثالث: التقادم الوارد في بعض القوانين التجارية الخاصة</w:t>
            </w:r>
            <w:r w:rsidRPr="00C406BC">
              <w:rPr>
                <w:rFonts w:ascii="Traditional Arabic" w:hAnsi="Traditional Arabic" w:cs="Traditional Arabic"/>
                <w:noProof/>
                <w:webHidden/>
                <w:sz w:val="36"/>
                <w:szCs w:val="36"/>
              </w:rPr>
              <w:tab/>
            </w:r>
            <w:r w:rsidRPr="00C406BC">
              <w:rPr>
                <w:rFonts w:ascii="Traditional Arabic" w:hAnsi="Traditional Arabic" w:cs="Traditional Arabic"/>
                <w:noProof/>
                <w:webHidden/>
                <w:sz w:val="36"/>
                <w:szCs w:val="36"/>
              </w:rPr>
              <w:fldChar w:fldCharType="begin"/>
            </w:r>
            <w:r w:rsidRPr="00C406BC">
              <w:rPr>
                <w:rFonts w:ascii="Traditional Arabic" w:hAnsi="Traditional Arabic" w:cs="Traditional Arabic"/>
                <w:noProof/>
                <w:webHidden/>
                <w:sz w:val="36"/>
                <w:szCs w:val="36"/>
              </w:rPr>
              <w:instrText xml:space="preserve"> PAGEREF _Toc168891651 \h </w:instrText>
            </w:r>
            <w:r w:rsidRPr="00C406BC">
              <w:rPr>
                <w:rFonts w:ascii="Traditional Arabic" w:hAnsi="Traditional Arabic" w:cs="Traditional Arabic"/>
                <w:noProof/>
                <w:webHidden/>
                <w:sz w:val="36"/>
                <w:szCs w:val="36"/>
              </w:rPr>
            </w:r>
            <w:r w:rsidRPr="00C406BC">
              <w:rPr>
                <w:rFonts w:ascii="Traditional Arabic" w:hAnsi="Traditional Arabic" w:cs="Traditional Arabic"/>
                <w:noProof/>
                <w:webHidden/>
                <w:sz w:val="36"/>
                <w:szCs w:val="36"/>
              </w:rPr>
              <w:fldChar w:fldCharType="separate"/>
            </w:r>
            <w:r w:rsidR="000534D9">
              <w:rPr>
                <w:rFonts w:ascii="Traditional Arabic" w:hAnsi="Traditional Arabic" w:cs="Traditional Arabic"/>
                <w:noProof/>
                <w:webHidden/>
                <w:sz w:val="36"/>
                <w:szCs w:val="36"/>
                <w:rtl/>
              </w:rPr>
              <w:t>61</w:t>
            </w:r>
            <w:r w:rsidRPr="00C406BC">
              <w:rPr>
                <w:rFonts w:ascii="Traditional Arabic" w:hAnsi="Traditional Arabic" w:cs="Traditional Arabic"/>
                <w:noProof/>
                <w:webHidden/>
                <w:sz w:val="36"/>
                <w:szCs w:val="36"/>
              </w:rPr>
              <w:fldChar w:fldCharType="end"/>
            </w:r>
          </w:hyperlink>
        </w:p>
        <w:p w14:paraId="439100E7" w14:textId="77777777" w:rsidR="00FE5256" w:rsidRPr="00274B52" w:rsidRDefault="00286DB0" w:rsidP="00FE5256">
          <w:pPr>
            <w:spacing w:after="240" w:line="360" w:lineRule="auto"/>
            <w:ind w:firstLine="720"/>
            <w:rPr>
              <w:rFonts w:ascii="Traditional Arabic" w:hAnsi="Traditional Arabic" w:cs="Traditional Arabic"/>
              <w:b/>
              <w:bCs/>
              <w:sz w:val="40"/>
              <w:szCs w:val="40"/>
              <w:rtl/>
            </w:rPr>
          </w:pPr>
          <w:r>
            <w:fldChar w:fldCharType="begin"/>
          </w:r>
          <w:r>
            <w:instrText>HYPERLINK \l "_Toc168891652"</w:instrText>
          </w:r>
          <w:r>
            <w:fldChar w:fldCharType="separate"/>
          </w:r>
          <w:r w:rsidRPr="00C406BC">
            <w:rPr>
              <w:rStyle w:val="Hyperlink"/>
              <w:rFonts w:ascii="Traditional Arabic" w:eastAsia="Calibri" w:hAnsi="Traditional Arabic" w:cs="Traditional Arabic"/>
              <w:b/>
              <w:bCs/>
              <w:noProof/>
              <w:color w:val="auto"/>
              <w:sz w:val="36"/>
              <w:szCs w:val="36"/>
              <w:rtl/>
            </w:rPr>
            <w:t xml:space="preserve">المبحث الثالث: </w:t>
          </w:r>
          <w:r w:rsidR="00FE5256" w:rsidRPr="00274B52">
            <w:rPr>
              <w:rFonts w:ascii="Traditional Arabic" w:hAnsi="Traditional Arabic" w:cs="Traditional Arabic"/>
              <w:b/>
              <w:bCs/>
              <w:sz w:val="40"/>
              <w:szCs w:val="40"/>
              <w:rtl/>
            </w:rPr>
            <w:t>مشكلات التقادم في نظام المحاكم التجارية السعودية</w:t>
          </w:r>
          <w:r w:rsidR="00FE5256">
            <w:rPr>
              <w:rFonts w:ascii="Traditional Arabic" w:hAnsi="Traditional Arabic" w:cs="Traditional Arabic" w:hint="cs"/>
              <w:b/>
              <w:bCs/>
              <w:sz w:val="40"/>
              <w:szCs w:val="40"/>
              <w:rtl/>
            </w:rPr>
            <w:t>، وتحدياته:</w:t>
          </w:r>
        </w:p>
        <w:p w14:paraId="56364A4A" w14:textId="2CDC6A1F" w:rsidR="00286DB0" w:rsidRPr="00C406BC" w:rsidRDefault="00286DB0" w:rsidP="00C406BC">
          <w:pPr>
            <w:pStyle w:val="10"/>
            <w:tabs>
              <w:tab w:val="right" w:leader="dot" w:pos="9350"/>
            </w:tabs>
            <w:spacing w:line="240" w:lineRule="auto"/>
            <w:rPr>
              <w:rFonts w:ascii="Traditional Arabic" w:eastAsiaTheme="minorEastAsia" w:hAnsi="Traditional Arabic" w:cs="Traditional Arabic"/>
              <w:noProof/>
              <w:kern w:val="0"/>
              <w:sz w:val="36"/>
              <w:szCs w:val="36"/>
              <w14:ligatures w14:val="none"/>
            </w:rPr>
          </w:pPr>
          <w:r w:rsidRPr="00C406BC">
            <w:rPr>
              <w:rFonts w:ascii="Traditional Arabic" w:hAnsi="Traditional Arabic" w:cs="Traditional Arabic"/>
              <w:noProof/>
              <w:webHidden/>
              <w:sz w:val="36"/>
              <w:szCs w:val="36"/>
            </w:rPr>
            <w:lastRenderedPageBreak/>
            <w:tab/>
          </w:r>
          <w:r w:rsidRPr="00C406BC">
            <w:rPr>
              <w:rFonts w:ascii="Traditional Arabic" w:hAnsi="Traditional Arabic" w:cs="Traditional Arabic"/>
              <w:noProof/>
              <w:webHidden/>
              <w:sz w:val="36"/>
              <w:szCs w:val="36"/>
            </w:rPr>
            <w:fldChar w:fldCharType="begin"/>
          </w:r>
          <w:r w:rsidRPr="00C406BC">
            <w:rPr>
              <w:rFonts w:ascii="Traditional Arabic" w:hAnsi="Traditional Arabic" w:cs="Traditional Arabic"/>
              <w:noProof/>
              <w:webHidden/>
              <w:sz w:val="36"/>
              <w:szCs w:val="36"/>
            </w:rPr>
            <w:instrText xml:space="preserve"> PAGEREF _Toc168891652 \h </w:instrText>
          </w:r>
          <w:r w:rsidRPr="00C406BC">
            <w:rPr>
              <w:rFonts w:ascii="Traditional Arabic" w:hAnsi="Traditional Arabic" w:cs="Traditional Arabic"/>
              <w:noProof/>
              <w:webHidden/>
              <w:sz w:val="36"/>
              <w:szCs w:val="36"/>
            </w:rPr>
          </w:r>
          <w:r w:rsidRPr="00C406BC">
            <w:rPr>
              <w:rFonts w:ascii="Traditional Arabic" w:hAnsi="Traditional Arabic" w:cs="Traditional Arabic"/>
              <w:noProof/>
              <w:webHidden/>
              <w:sz w:val="36"/>
              <w:szCs w:val="36"/>
            </w:rPr>
            <w:fldChar w:fldCharType="separate"/>
          </w:r>
          <w:r w:rsidR="000534D9">
            <w:rPr>
              <w:rFonts w:ascii="Traditional Arabic" w:hAnsi="Traditional Arabic" w:cs="Traditional Arabic"/>
              <w:noProof/>
              <w:webHidden/>
              <w:sz w:val="36"/>
              <w:szCs w:val="36"/>
              <w:rtl/>
            </w:rPr>
            <w:t>81</w:t>
          </w:r>
          <w:r w:rsidRPr="00C406BC">
            <w:rPr>
              <w:rFonts w:ascii="Traditional Arabic" w:hAnsi="Traditional Arabic" w:cs="Traditional Arabic"/>
              <w:noProof/>
              <w:webHidden/>
              <w:sz w:val="36"/>
              <w:szCs w:val="36"/>
            </w:rPr>
            <w:fldChar w:fldCharType="end"/>
          </w:r>
          <w:r>
            <w:rPr>
              <w:rFonts w:ascii="Traditional Arabic" w:hAnsi="Traditional Arabic" w:cs="Traditional Arabic"/>
              <w:noProof/>
              <w:sz w:val="36"/>
              <w:szCs w:val="36"/>
            </w:rPr>
            <w:fldChar w:fldCharType="end"/>
          </w:r>
        </w:p>
        <w:p w14:paraId="7BCCE081" w14:textId="018B3686" w:rsidR="00286DB0" w:rsidRPr="00C406BC" w:rsidRDefault="00286DB0" w:rsidP="00C406BC">
          <w:pPr>
            <w:pStyle w:val="10"/>
            <w:tabs>
              <w:tab w:val="right" w:leader="dot" w:pos="9350"/>
            </w:tabs>
            <w:spacing w:line="240" w:lineRule="auto"/>
            <w:rPr>
              <w:rFonts w:ascii="Traditional Arabic" w:eastAsiaTheme="minorEastAsia" w:hAnsi="Traditional Arabic" w:cs="Traditional Arabic"/>
              <w:noProof/>
              <w:kern w:val="0"/>
              <w:sz w:val="36"/>
              <w:szCs w:val="36"/>
              <w14:ligatures w14:val="none"/>
            </w:rPr>
          </w:pPr>
          <w:hyperlink w:anchor="_Toc168891653" w:history="1">
            <w:r w:rsidRPr="00C406BC">
              <w:rPr>
                <w:rStyle w:val="Hyperlink"/>
                <w:rFonts w:ascii="Traditional Arabic" w:eastAsia="Calibri" w:hAnsi="Traditional Arabic" w:cs="Traditional Arabic"/>
                <w:b/>
                <w:bCs/>
                <w:noProof/>
                <w:color w:val="auto"/>
                <w:sz w:val="36"/>
                <w:szCs w:val="36"/>
                <w:rtl/>
              </w:rPr>
              <w:t xml:space="preserve">المطلب الأول: </w:t>
            </w:r>
            <w:r w:rsidR="00E70979">
              <w:rPr>
                <w:rStyle w:val="Hyperlink"/>
                <w:rFonts w:ascii="Traditional Arabic" w:eastAsia="Calibri" w:hAnsi="Traditional Arabic" w:cs="Traditional Arabic" w:hint="cs"/>
                <w:b/>
                <w:bCs/>
                <w:noProof/>
                <w:color w:val="auto"/>
                <w:sz w:val="36"/>
                <w:szCs w:val="36"/>
                <w:rtl/>
              </w:rPr>
              <w:t>أ</w:t>
            </w:r>
            <w:r w:rsidRPr="00C406BC">
              <w:rPr>
                <w:rStyle w:val="Hyperlink"/>
                <w:rFonts w:ascii="Traditional Arabic" w:eastAsia="Calibri" w:hAnsi="Traditional Arabic" w:cs="Traditional Arabic"/>
                <w:b/>
                <w:bCs/>
                <w:noProof/>
                <w:color w:val="auto"/>
                <w:sz w:val="36"/>
                <w:szCs w:val="36"/>
                <w:rtl/>
              </w:rPr>
              <w:t>ثر انقطاع التقادم في الالتزام الصرفي.</w:t>
            </w:r>
            <w:r w:rsidRPr="00C406BC">
              <w:rPr>
                <w:rFonts w:ascii="Traditional Arabic" w:hAnsi="Traditional Arabic" w:cs="Traditional Arabic"/>
                <w:noProof/>
                <w:webHidden/>
                <w:sz w:val="36"/>
                <w:szCs w:val="36"/>
              </w:rPr>
              <w:tab/>
            </w:r>
            <w:r w:rsidRPr="00C406BC">
              <w:rPr>
                <w:rFonts w:ascii="Traditional Arabic" w:hAnsi="Traditional Arabic" w:cs="Traditional Arabic"/>
                <w:noProof/>
                <w:webHidden/>
                <w:sz w:val="36"/>
                <w:szCs w:val="36"/>
              </w:rPr>
              <w:fldChar w:fldCharType="begin"/>
            </w:r>
            <w:r w:rsidRPr="00C406BC">
              <w:rPr>
                <w:rFonts w:ascii="Traditional Arabic" w:hAnsi="Traditional Arabic" w:cs="Traditional Arabic"/>
                <w:noProof/>
                <w:webHidden/>
                <w:sz w:val="36"/>
                <w:szCs w:val="36"/>
              </w:rPr>
              <w:instrText xml:space="preserve"> PAGEREF _Toc168891653 \h </w:instrText>
            </w:r>
            <w:r w:rsidRPr="00C406BC">
              <w:rPr>
                <w:rFonts w:ascii="Traditional Arabic" w:hAnsi="Traditional Arabic" w:cs="Traditional Arabic"/>
                <w:noProof/>
                <w:webHidden/>
                <w:sz w:val="36"/>
                <w:szCs w:val="36"/>
              </w:rPr>
            </w:r>
            <w:r w:rsidRPr="00C406BC">
              <w:rPr>
                <w:rFonts w:ascii="Traditional Arabic" w:hAnsi="Traditional Arabic" w:cs="Traditional Arabic"/>
                <w:noProof/>
                <w:webHidden/>
                <w:sz w:val="36"/>
                <w:szCs w:val="36"/>
              </w:rPr>
              <w:fldChar w:fldCharType="separate"/>
            </w:r>
            <w:r w:rsidR="000534D9">
              <w:rPr>
                <w:rFonts w:ascii="Traditional Arabic" w:hAnsi="Traditional Arabic" w:cs="Traditional Arabic"/>
                <w:noProof/>
                <w:webHidden/>
                <w:sz w:val="36"/>
                <w:szCs w:val="36"/>
                <w:rtl/>
              </w:rPr>
              <w:t>81</w:t>
            </w:r>
            <w:r w:rsidRPr="00C406BC">
              <w:rPr>
                <w:rFonts w:ascii="Traditional Arabic" w:hAnsi="Traditional Arabic" w:cs="Traditional Arabic"/>
                <w:noProof/>
                <w:webHidden/>
                <w:sz w:val="36"/>
                <w:szCs w:val="36"/>
              </w:rPr>
              <w:fldChar w:fldCharType="end"/>
            </w:r>
          </w:hyperlink>
        </w:p>
        <w:p w14:paraId="7DCDBD14" w14:textId="0797E963" w:rsidR="00286DB0" w:rsidRPr="00C406BC" w:rsidRDefault="00286DB0" w:rsidP="00C406BC">
          <w:pPr>
            <w:pStyle w:val="10"/>
            <w:tabs>
              <w:tab w:val="right" w:leader="dot" w:pos="9350"/>
            </w:tabs>
            <w:spacing w:line="240" w:lineRule="auto"/>
            <w:rPr>
              <w:rFonts w:ascii="Traditional Arabic" w:eastAsiaTheme="minorEastAsia" w:hAnsi="Traditional Arabic" w:cs="Traditional Arabic"/>
              <w:noProof/>
              <w:kern w:val="0"/>
              <w:sz w:val="36"/>
              <w:szCs w:val="36"/>
              <w14:ligatures w14:val="none"/>
            </w:rPr>
          </w:pPr>
          <w:hyperlink w:anchor="_Toc168891654" w:history="1">
            <w:r w:rsidRPr="00C406BC">
              <w:rPr>
                <w:rStyle w:val="Hyperlink"/>
                <w:rFonts w:ascii="Traditional Arabic" w:eastAsia="Calibri" w:hAnsi="Traditional Arabic" w:cs="Traditional Arabic"/>
                <w:b/>
                <w:bCs/>
                <w:noProof/>
                <w:color w:val="auto"/>
                <w:sz w:val="36"/>
                <w:szCs w:val="36"/>
                <w:rtl/>
              </w:rPr>
              <w:t xml:space="preserve">المطلب الثاني: </w:t>
            </w:r>
            <w:r w:rsidR="00E70979">
              <w:rPr>
                <w:rStyle w:val="Hyperlink"/>
                <w:rFonts w:ascii="Traditional Arabic" w:eastAsia="Calibri" w:hAnsi="Traditional Arabic" w:cs="Traditional Arabic" w:hint="cs"/>
                <w:b/>
                <w:bCs/>
                <w:noProof/>
                <w:color w:val="auto"/>
                <w:sz w:val="36"/>
                <w:szCs w:val="36"/>
                <w:rtl/>
              </w:rPr>
              <w:t>أ</w:t>
            </w:r>
            <w:r w:rsidRPr="00C406BC">
              <w:rPr>
                <w:rStyle w:val="Hyperlink"/>
                <w:rFonts w:ascii="Traditional Arabic" w:eastAsia="Calibri" w:hAnsi="Traditional Arabic" w:cs="Traditional Arabic"/>
                <w:b/>
                <w:bCs/>
                <w:noProof/>
                <w:color w:val="auto"/>
                <w:sz w:val="36"/>
                <w:szCs w:val="36"/>
                <w:rtl/>
              </w:rPr>
              <w:t>ثر وقف سريان عدم سماع الدعوى في الالتزام الصرفي.</w:t>
            </w:r>
            <w:r w:rsidRPr="00C406BC">
              <w:rPr>
                <w:rFonts w:ascii="Traditional Arabic" w:hAnsi="Traditional Arabic" w:cs="Traditional Arabic"/>
                <w:noProof/>
                <w:webHidden/>
                <w:sz w:val="36"/>
                <w:szCs w:val="36"/>
              </w:rPr>
              <w:tab/>
            </w:r>
            <w:r w:rsidRPr="00C406BC">
              <w:rPr>
                <w:rFonts w:ascii="Traditional Arabic" w:hAnsi="Traditional Arabic" w:cs="Traditional Arabic"/>
                <w:noProof/>
                <w:webHidden/>
                <w:sz w:val="36"/>
                <w:szCs w:val="36"/>
              </w:rPr>
              <w:fldChar w:fldCharType="begin"/>
            </w:r>
            <w:r w:rsidRPr="00C406BC">
              <w:rPr>
                <w:rFonts w:ascii="Traditional Arabic" w:hAnsi="Traditional Arabic" w:cs="Traditional Arabic"/>
                <w:noProof/>
                <w:webHidden/>
                <w:sz w:val="36"/>
                <w:szCs w:val="36"/>
              </w:rPr>
              <w:instrText xml:space="preserve"> PAGEREF _Toc168891654 \h </w:instrText>
            </w:r>
            <w:r w:rsidRPr="00C406BC">
              <w:rPr>
                <w:rFonts w:ascii="Traditional Arabic" w:hAnsi="Traditional Arabic" w:cs="Traditional Arabic"/>
                <w:noProof/>
                <w:webHidden/>
                <w:sz w:val="36"/>
                <w:szCs w:val="36"/>
              </w:rPr>
            </w:r>
            <w:r w:rsidRPr="00C406BC">
              <w:rPr>
                <w:rFonts w:ascii="Traditional Arabic" w:hAnsi="Traditional Arabic" w:cs="Traditional Arabic"/>
                <w:noProof/>
                <w:webHidden/>
                <w:sz w:val="36"/>
                <w:szCs w:val="36"/>
              </w:rPr>
              <w:fldChar w:fldCharType="separate"/>
            </w:r>
            <w:r w:rsidR="000534D9">
              <w:rPr>
                <w:rFonts w:ascii="Traditional Arabic" w:hAnsi="Traditional Arabic" w:cs="Traditional Arabic"/>
                <w:noProof/>
                <w:webHidden/>
                <w:sz w:val="36"/>
                <w:szCs w:val="36"/>
                <w:rtl/>
              </w:rPr>
              <w:t>86</w:t>
            </w:r>
            <w:r w:rsidRPr="00C406BC">
              <w:rPr>
                <w:rFonts w:ascii="Traditional Arabic" w:hAnsi="Traditional Arabic" w:cs="Traditional Arabic"/>
                <w:noProof/>
                <w:webHidden/>
                <w:sz w:val="36"/>
                <w:szCs w:val="36"/>
              </w:rPr>
              <w:fldChar w:fldCharType="end"/>
            </w:r>
          </w:hyperlink>
        </w:p>
        <w:p w14:paraId="58DBB129" w14:textId="54B76F5F" w:rsidR="00286DB0" w:rsidRPr="00C406BC" w:rsidRDefault="00286DB0" w:rsidP="00C406BC">
          <w:pPr>
            <w:pStyle w:val="10"/>
            <w:tabs>
              <w:tab w:val="right" w:leader="dot" w:pos="9350"/>
            </w:tabs>
            <w:spacing w:line="240" w:lineRule="auto"/>
            <w:rPr>
              <w:rFonts w:ascii="Traditional Arabic" w:eastAsiaTheme="minorEastAsia" w:hAnsi="Traditional Arabic" w:cs="Traditional Arabic"/>
              <w:noProof/>
              <w:kern w:val="0"/>
              <w:sz w:val="36"/>
              <w:szCs w:val="36"/>
              <w14:ligatures w14:val="none"/>
            </w:rPr>
          </w:pPr>
          <w:hyperlink w:anchor="_Toc168891655" w:history="1">
            <w:r w:rsidRPr="00C406BC">
              <w:rPr>
                <w:rStyle w:val="Hyperlink"/>
                <w:rFonts w:ascii="Traditional Arabic" w:eastAsia="Calibri" w:hAnsi="Traditional Arabic" w:cs="Traditional Arabic"/>
                <w:b/>
                <w:bCs/>
                <w:noProof/>
                <w:color w:val="auto"/>
                <w:sz w:val="36"/>
                <w:szCs w:val="36"/>
                <w:rtl/>
              </w:rPr>
              <w:t>المطلب الثالث: آثار التقادم على العدالة</w:t>
            </w:r>
            <w:r w:rsidR="00E70979">
              <w:rPr>
                <w:rStyle w:val="Hyperlink"/>
                <w:rFonts w:ascii="Traditional Arabic" w:eastAsia="Calibri" w:hAnsi="Traditional Arabic" w:cs="Traditional Arabic" w:hint="cs"/>
                <w:b/>
                <w:bCs/>
                <w:noProof/>
                <w:color w:val="auto"/>
                <w:sz w:val="36"/>
                <w:szCs w:val="36"/>
                <w:rtl/>
              </w:rPr>
              <w:t>،</w:t>
            </w:r>
            <w:r w:rsidRPr="00C406BC">
              <w:rPr>
                <w:rStyle w:val="Hyperlink"/>
                <w:rFonts w:ascii="Traditional Arabic" w:eastAsia="Calibri" w:hAnsi="Traditional Arabic" w:cs="Traditional Arabic"/>
                <w:b/>
                <w:bCs/>
                <w:noProof/>
                <w:color w:val="auto"/>
                <w:sz w:val="36"/>
                <w:szCs w:val="36"/>
                <w:rtl/>
              </w:rPr>
              <w:t xml:space="preserve"> والاقتصاد في المملكة العربية السعودية.</w:t>
            </w:r>
            <w:r w:rsidRPr="00C406BC">
              <w:rPr>
                <w:rFonts w:ascii="Traditional Arabic" w:hAnsi="Traditional Arabic" w:cs="Traditional Arabic"/>
                <w:noProof/>
                <w:webHidden/>
                <w:sz w:val="36"/>
                <w:szCs w:val="36"/>
              </w:rPr>
              <w:tab/>
            </w:r>
            <w:r w:rsidRPr="00C406BC">
              <w:rPr>
                <w:rFonts w:ascii="Traditional Arabic" w:hAnsi="Traditional Arabic" w:cs="Traditional Arabic"/>
                <w:noProof/>
                <w:webHidden/>
                <w:sz w:val="36"/>
                <w:szCs w:val="36"/>
              </w:rPr>
              <w:fldChar w:fldCharType="begin"/>
            </w:r>
            <w:r w:rsidRPr="00C406BC">
              <w:rPr>
                <w:rFonts w:ascii="Traditional Arabic" w:hAnsi="Traditional Arabic" w:cs="Traditional Arabic"/>
                <w:noProof/>
                <w:webHidden/>
                <w:sz w:val="36"/>
                <w:szCs w:val="36"/>
              </w:rPr>
              <w:instrText xml:space="preserve"> PAGEREF _Toc168891655 \h </w:instrText>
            </w:r>
            <w:r w:rsidRPr="00C406BC">
              <w:rPr>
                <w:rFonts w:ascii="Traditional Arabic" w:hAnsi="Traditional Arabic" w:cs="Traditional Arabic"/>
                <w:noProof/>
                <w:webHidden/>
                <w:sz w:val="36"/>
                <w:szCs w:val="36"/>
              </w:rPr>
            </w:r>
            <w:r w:rsidRPr="00C406BC">
              <w:rPr>
                <w:rFonts w:ascii="Traditional Arabic" w:hAnsi="Traditional Arabic" w:cs="Traditional Arabic"/>
                <w:noProof/>
                <w:webHidden/>
                <w:sz w:val="36"/>
                <w:szCs w:val="36"/>
              </w:rPr>
              <w:fldChar w:fldCharType="separate"/>
            </w:r>
            <w:r w:rsidR="000534D9">
              <w:rPr>
                <w:rFonts w:ascii="Traditional Arabic" w:hAnsi="Traditional Arabic" w:cs="Traditional Arabic"/>
                <w:noProof/>
                <w:webHidden/>
                <w:sz w:val="36"/>
                <w:szCs w:val="36"/>
                <w:rtl/>
              </w:rPr>
              <w:t>94</w:t>
            </w:r>
            <w:r w:rsidRPr="00C406BC">
              <w:rPr>
                <w:rFonts w:ascii="Traditional Arabic" w:hAnsi="Traditional Arabic" w:cs="Traditional Arabic"/>
                <w:noProof/>
                <w:webHidden/>
                <w:sz w:val="36"/>
                <w:szCs w:val="36"/>
              </w:rPr>
              <w:fldChar w:fldCharType="end"/>
            </w:r>
          </w:hyperlink>
        </w:p>
        <w:p w14:paraId="7F284656" w14:textId="73666936" w:rsidR="00286DB0" w:rsidRPr="00C406BC" w:rsidRDefault="00286DB0" w:rsidP="00C406BC">
          <w:pPr>
            <w:pStyle w:val="10"/>
            <w:tabs>
              <w:tab w:val="right" w:leader="dot" w:pos="9350"/>
            </w:tabs>
            <w:spacing w:line="240" w:lineRule="auto"/>
            <w:rPr>
              <w:rFonts w:ascii="Traditional Arabic" w:eastAsiaTheme="minorEastAsia" w:hAnsi="Traditional Arabic" w:cs="Traditional Arabic"/>
              <w:noProof/>
              <w:kern w:val="0"/>
              <w:sz w:val="36"/>
              <w:szCs w:val="36"/>
              <w14:ligatures w14:val="none"/>
            </w:rPr>
          </w:pPr>
          <w:hyperlink w:anchor="_Toc168891656" w:history="1">
            <w:r w:rsidRPr="00C406BC">
              <w:rPr>
                <w:rStyle w:val="Hyperlink"/>
                <w:rFonts w:ascii="Traditional Arabic" w:eastAsia="Calibri" w:hAnsi="Traditional Arabic" w:cs="Traditional Arabic"/>
                <w:b/>
                <w:bCs/>
                <w:noProof/>
                <w:color w:val="auto"/>
                <w:sz w:val="36"/>
                <w:szCs w:val="36"/>
                <w:rtl/>
              </w:rPr>
              <w:t>الخاتمة</w:t>
            </w:r>
            <w:r w:rsidRPr="00C406BC">
              <w:rPr>
                <w:rFonts w:ascii="Traditional Arabic" w:hAnsi="Traditional Arabic" w:cs="Traditional Arabic"/>
                <w:noProof/>
                <w:webHidden/>
                <w:sz w:val="36"/>
                <w:szCs w:val="36"/>
              </w:rPr>
              <w:tab/>
            </w:r>
            <w:r w:rsidRPr="00C406BC">
              <w:rPr>
                <w:rFonts w:ascii="Traditional Arabic" w:hAnsi="Traditional Arabic" w:cs="Traditional Arabic"/>
                <w:noProof/>
                <w:webHidden/>
                <w:sz w:val="36"/>
                <w:szCs w:val="36"/>
              </w:rPr>
              <w:fldChar w:fldCharType="begin"/>
            </w:r>
            <w:r w:rsidRPr="00C406BC">
              <w:rPr>
                <w:rFonts w:ascii="Traditional Arabic" w:hAnsi="Traditional Arabic" w:cs="Traditional Arabic"/>
                <w:noProof/>
                <w:webHidden/>
                <w:sz w:val="36"/>
                <w:szCs w:val="36"/>
              </w:rPr>
              <w:instrText xml:space="preserve"> PAGEREF _Toc168891656 \h </w:instrText>
            </w:r>
            <w:r w:rsidRPr="00C406BC">
              <w:rPr>
                <w:rFonts w:ascii="Traditional Arabic" w:hAnsi="Traditional Arabic" w:cs="Traditional Arabic"/>
                <w:noProof/>
                <w:webHidden/>
                <w:sz w:val="36"/>
                <w:szCs w:val="36"/>
              </w:rPr>
            </w:r>
            <w:r w:rsidRPr="00C406BC">
              <w:rPr>
                <w:rFonts w:ascii="Traditional Arabic" w:hAnsi="Traditional Arabic" w:cs="Traditional Arabic"/>
                <w:noProof/>
                <w:webHidden/>
                <w:sz w:val="36"/>
                <w:szCs w:val="36"/>
              </w:rPr>
              <w:fldChar w:fldCharType="separate"/>
            </w:r>
            <w:r w:rsidR="000534D9">
              <w:rPr>
                <w:rFonts w:ascii="Traditional Arabic" w:hAnsi="Traditional Arabic" w:cs="Traditional Arabic"/>
                <w:noProof/>
                <w:webHidden/>
                <w:sz w:val="36"/>
                <w:szCs w:val="36"/>
                <w:rtl/>
              </w:rPr>
              <w:t>96</w:t>
            </w:r>
            <w:r w:rsidRPr="00C406BC">
              <w:rPr>
                <w:rFonts w:ascii="Traditional Arabic" w:hAnsi="Traditional Arabic" w:cs="Traditional Arabic"/>
                <w:noProof/>
                <w:webHidden/>
                <w:sz w:val="36"/>
                <w:szCs w:val="36"/>
              </w:rPr>
              <w:fldChar w:fldCharType="end"/>
            </w:r>
          </w:hyperlink>
        </w:p>
        <w:p w14:paraId="471F4648" w14:textId="1F0AEE9C" w:rsidR="00286DB0" w:rsidRPr="00C406BC" w:rsidRDefault="00286DB0" w:rsidP="00C406BC">
          <w:pPr>
            <w:pStyle w:val="10"/>
            <w:tabs>
              <w:tab w:val="right" w:leader="dot" w:pos="9350"/>
            </w:tabs>
            <w:spacing w:line="240" w:lineRule="auto"/>
            <w:rPr>
              <w:rFonts w:ascii="Traditional Arabic" w:eastAsiaTheme="minorEastAsia" w:hAnsi="Traditional Arabic" w:cs="Traditional Arabic"/>
              <w:noProof/>
              <w:kern w:val="0"/>
              <w:sz w:val="28"/>
              <w:szCs w:val="28"/>
              <w14:ligatures w14:val="none"/>
            </w:rPr>
          </w:pPr>
          <w:hyperlink w:anchor="_Toc168891657" w:history="1">
            <w:r w:rsidRPr="00C406BC">
              <w:rPr>
                <w:rStyle w:val="Hyperlink"/>
                <w:rFonts w:ascii="Traditional Arabic" w:eastAsia="Times New Roman" w:hAnsi="Traditional Arabic" w:cs="Traditional Arabic"/>
                <w:b/>
                <w:bCs/>
                <w:noProof/>
                <w:color w:val="auto"/>
                <w:sz w:val="36"/>
                <w:szCs w:val="36"/>
                <w:rtl/>
              </w:rPr>
              <w:t>المراجع</w:t>
            </w:r>
            <w:r w:rsidRPr="00C406BC">
              <w:rPr>
                <w:rFonts w:ascii="Traditional Arabic" w:hAnsi="Traditional Arabic" w:cs="Traditional Arabic"/>
                <w:noProof/>
                <w:webHidden/>
                <w:sz w:val="36"/>
                <w:szCs w:val="36"/>
              </w:rPr>
              <w:tab/>
            </w:r>
            <w:r w:rsidRPr="00C406BC">
              <w:rPr>
                <w:rFonts w:ascii="Traditional Arabic" w:hAnsi="Traditional Arabic" w:cs="Traditional Arabic"/>
                <w:noProof/>
                <w:webHidden/>
                <w:sz w:val="36"/>
                <w:szCs w:val="36"/>
              </w:rPr>
              <w:fldChar w:fldCharType="begin"/>
            </w:r>
            <w:r w:rsidRPr="00C406BC">
              <w:rPr>
                <w:rFonts w:ascii="Traditional Arabic" w:hAnsi="Traditional Arabic" w:cs="Traditional Arabic"/>
                <w:noProof/>
                <w:webHidden/>
                <w:sz w:val="36"/>
                <w:szCs w:val="36"/>
              </w:rPr>
              <w:instrText xml:space="preserve"> PAGEREF _Toc168891657 \h </w:instrText>
            </w:r>
            <w:r w:rsidRPr="00C406BC">
              <w:rPr>
                <w:rFonts w:ascii="Traditional Arabic" w:hAnsi="Traditional Arabic" w:cs="Traditional Arabic"/>
                <w:noProof/>
                <w:webHidden/>
                <w:sz w:val="36"/>
                <w:szCs w:val="36"/>
              </w:rPr>
            </w:r>
            <w:r w:rsidRPr="00C406BC">
              <w:rPr>
                <w:rFonts w:ascii="Traditional Arabic" w:hAnsi="Traditional Arabic" w:cs="Traditional Arabic"/>
                <w:noProof/>
                <w:webHidden/>
                <w:sz w:val="36"/>
                <w:szCs w:val="36"/>
              </w:rPr>
              <w:fldChar w:fldCharType="separate"/>
            </w:r>
            <w:r w:rsidR="000534D9">
              <w:rPr>
                <w:rFonts w:ascii="Traditional Arabic" w:hAnsi="Traditional Arabic" w:cs="Traditional Arabic"/>
                <w:noProof/>
                <w:webHidden/>
                <w:sz w:val="36"/>
                <w:szCs w:val="36"/>
                <w:rtl/>
              </w:rPr>
              <w:t>98</w:t>
            </w:r>
            <w:r w:rsidRPr="00C406BC">
              <w:rPr>
                <w:rFonts w:ascii="Traditional Arabic" w:hAnsi="Traditional Arabic" w:cs="Traditional Arabic"/>
                <w:noProof/>
                <w:webHidden/>
                <w:sz w:val="36"/>
                <w:szCs w:val="36"/>
              </w:rPr>
              <w:fldChar w:fldCharType="end"/>
            </w:r>
          </w:hyperlink>
        </w:p>
        <w:p w14:paraId="15DA3469" w14:textId="07CD6BBC" w:rsidR="00101E92" w:rsidRPr="00C406BC" w:rsidRDefault="00101E92" w:rsidP="00C406BC">
          <w:pPr>
            <w:spacing w:after="240" w:line="360" w:lineRule="auto"/>
            <w:rPr>
              <w:rFonts w:ascii="Traditional Arabic" w:hAnsi="Traditional Arabic" w:cs="Traditional Arabic"/>
              <w:sz w:val="40"/>
              <w:szCs w:val="40"/>
            </w:rPr>
          </w:pPr>
          <w:r w:rsidRPr="00C406BC">
            <w:rPr>
              <w:rFonts w:ascii="Traditional Arabic" w:hAnsi="Traditional Arabic" w:cs="Traditional Arabic"/>
              <w:b/>
              <w:bCs/>
              <w:noProof/>
              <w:sz w:val="40"/>
              <w:szCs w:val="40"/>
            </w:rPr>
            <w:fldChar w:fldCharType="end"/>
          </w:r>
        </w:p>
      </w:sdtContent>
    </w:sdt>
    <w:p w14:paraId="09BE6B57" w14:textId="77777777" w:rsidR="00101E92" w:rsidRPr="00C406BC" w:rsidRDefault="00101E92" w:rsidP="00C406BC">
      <w:pPr>
        <w:spacing w:after="240" w:line="360" w:lineRule="auto"/>
        <w:ind w:firstLine="720"/>
        <w:rPr>
          <w:rFonts w:ascii="Traditional Arabic" w:hAnsi="Traditional Arabic" w:cs="Traditional Arabic"/>
          <w:b/>
          <w:bCs/>
          <w:sz w:val="40"/>
          <w:szCs w:val="40"/>
          <w:rtl/>
        </w:rPr>
      </w:pPr>
    </w:p>
    <w:p w14:paraId="5AC86EB3" w14:textId="77777777" w:rsidR="0078056C" w:rsidRPr="00C406BC" w:rsidRDefault="0078056C" w:rsidP="00C406BC">
      <w:pPr>
        <w:spacing w:after="240" w:line="360" w:lineRule="auto"/>
        <w:ind w:firstLine="720"/>
        <w:rPr>
          <w:rFonts w:ascii="Traditional Arabic" w:hAnsi="Traditional Arabic" w:cs="Traditional Arabic"/>
          <w:b/>
          <w:bCs/>
          <w:sz w:val="40"/>
          <w:szCs w:val="40"/>
          <w:rtl/>
        </w:rPr>
      </w:pPr>
    </w:p>
    <w:p w14:paraId="564BBF0A" w14:textId="77777777" w:rsidR="0078056C" w:rsidRPr="00C406BC" w:rsidRDefault="0078056C" w:rsidP="00C406BC">
      <w:pPr>
        <w:spacing w:after="240" w:line="360" w:lineRule="auto"/>
        <w:ind w:firstLine="720"/>
        <w:rPr>
          <w:rFonts w:ascii="Traditional Arabic" w:hAnsi="Traditional Arabic" w:cs="Traditional Arabic"/>
          <w:b/>
          <w:bCs/>
          <w:sz w:val="40"/>
          <w:szCs w:val="40"/>
          <w:rtl/>
        </w:rPr>
      </w:pPr>
    </w:p>
    <w:p w14:paraId="32ECBFB2" w14:textId="77777777" w:rsidR="0078056C" w:rsidRPr="00C406BC" w:rsidRDefault="0078056C" w:rsidP="00C406BC">
      <w:pPr>
        <w:spacing w:after="240" w:line="360" w:lineRule="auto"/>
        <w:ind w:firstLine="720"/>
        <w:rPr>
          <w:rFonts w:ascii="Traditional Arabic" w:hAnsi="Traditional Arabic" w:cs="Traditional Arabic"/>
          <w:b/>
          <w:bCs/>
          <w:sz w:val="40"/>
          <w:szCs w:val="40"/>
          <w:rtl/>
        </w:rPr>
      </w:pPr>
    </w:p>
    <w:p w14:paraId="3F82DA11" w14:textId="77777777" w:rsidR="0078056C" w:rsidRPr="00C406BC" w:rsidRDefault="0078056C" w:rsidP="00C406BC">
      <w:pPr>
        <w:spacing w:after="240" w:line="360" w:lineRule="auto"/>
        <w:ind w:firstLine="720"/>
        <w:rPr>
          <w:rFonts w:ascii="Traditional Arabic" w:hAnsi="Traditional Arabic" w:cs="Traditional Arabic"/>
          <w:b/>
          <w:bCs/>
          <w:sz w:val="40"/>
          <w:szCs w:val="40"/>
          <w:rtl/>
        </w:rPr>
      </w:pPr>
    </w:p>
    <w:p w14:paraId="0E8B4B0A" w14:textId="77777777" w:rsidR="005261EC" w:rsidRPr="00C406BC" w:rsidRDefault="005261EC" w:rsidP="00C406BC">
      <w:pPr>
        <w:spacing w:after="240" w:line="360" w:lineRule="auto"/>
        <w:ind w:firstLine="720"/>
        <w:rPr>
          <w:rFonts w:ascii="Traditional Arabic" w:hAnsi="Traditional Arabic" w:cs="Traditional Arabic"/>
          <w:b/>
          <w:bCs/>
          <w:sz w:val="40"/>
          <w:szCs w:val="40"/>
          <w:rtl/>
        </w:rPr>
      </w:pPr>
    </w:p>
    <w:p w14:paraId="5BE887CA" w14:textId="77777777" w:rsidR="005261EC" w:rsidRPr="00C406BC" w:rsidRDefault="005261EC" w:rsidP="00C406BC">
      <w:pPr>
        <w:spacing w:after="240" w:line="360" w:lineRule="auto"/>
        <w:ind w:firstLine="720"/>
        <w:rPr>
          <w:rFonts w:ascii="Traditional Arabic" w:hAnsi="Traditional Arabic" w:cs="Traditional Arabic"/>
          <w:b/>
          <w:bCs/>
          <w:sz w:val="40"/>
          <w:szCs w:val="40"/>
          <w:rtl/>
        </w:rPr>
      </w:pPr>
    </w:p>
    <w:p w14:paraId="2304B7DA" w14:textId="13D812EA" w:rsidR="00985782" w:rsidRPr="00C406BC" w:rsidRDefault="00422B8B" w:rsidP="00C406BC">
      <w:pPr>
        <w:pStyle w:val="1"/>
        <w:spacing w:after="240" w:line="360" w:lineRule="auto"/>
        <w:ind w:firstLine="720"/>
        <w:jc w:val="center"/>
        <w:rPr>
          <w:rFonts w:ascii="Traditional Arabic" w:hAnsi="Traditional Arabic" w:cs="Traditional Arabic"/>
          <w:b/>
          <w:bCs/>
          <w:color w:val="auto"/>
          <w:sz w:val="40"/>
          <w:szCs w:val="40"/>
        </w:rPr>
      </w:pPr>
      <w:bookmarkStart w:id="0" w:name="_Toc168891636"/>
      <w:r w:rsidRPr="00C406BC">
        <w:rPr>
          <w:rFonts w:ascii="Traditional Arabic" w:hAnsi="Traditional Arabic" w:cs="Traditional Arabic"/>
          <w:b/>
          <w:bCs/>
          <w:color w:val="auto"/>
          <w:sz w:val="40"/>
          <w:szCs w:val="40"/>
          <w:lang w:bidi="ar-EG"/>
        </w:rPr>
        <w:lastRenderedPageBreak/>
        <w:t>ال</w:t>
      </w:r>
      <w:r w:rsidR="00985782" w:rsidRPr="00C406BC">
        <w:rPr>
          <w:rFonts w:ascii="Traditional Arabic" w:hAnsi="Traditional Arabic" w:cs="Traditional Arabic"/>
          <w:b/>
          <w:bCs/>
          <w:color w:val="auto"/>
          <w:sz w:val="40"/>
          <w:szCs w:val="40"/>
        </w:rPr>
        <w:t>مقدمة</w:t>
      </w:r>
      <w:bookmarkEnd w:id="0"/>
    </w:p>
    <w:p w14:paraId="1C24DA79" w14:textId="21CF68CF" w:rsidR="00950D2F" w:rsidRPr="00C406BC" w:rsidRDefault="00950D2F" w:rsidP="00C406BC">
      <w:pPr>
        <w:spacing w:after="240" w:line="360" w:lineRule="auto"/>
        <w:ind w:firstLine="720"/>
        <w:jc w:val="both"/>
        <w:rPr>
          <w:rFonts w:ascii="Traditional Arabic" w:hAnsi="Traditional Arabic" w:cs="Traditional Arabic"/>
          <w:sz w:val="40"/>
          <w:szCs w:val="40"/>
        </w:rPr>
      </w:pPr>
      <w:r w:rsidRPr="00C406BC">
        <w:rPr>
          <w:rFonts w:ascii="Traditional Arabic" w:hAnsi="Traditional Arabic" w:cs="Traditional Arabic"/>
          <w:sz w:val="40"/>
          <w:szCs w:val="40"/>
          <w:rtl/>
        </w:rPr>
        <w:t>يقدم قانون المحاكم التجارية السعودي مجموعة متنوعة من التعديلات الجديدة للنظام القضائي التجاري</w:t>
      </w:r>
      <w:r w:rsidR="00E70979">
        <w:rPr>
          <w:rFonts w:ascii="Traditional Arabic" w:hAnsi="Traditional Arabic" w:cs="Traditional Arabic" w:hint="cs"/>
          <w:sz w:val="40"/>
          <w:szCs w:val="40"/>
          <w:rtl/>
        </w:rPr>
        <w:t>،</w:t>
      </w:r>
      <w:r w:rsidRPr="00C406BC">
        <w:rPr>
          <w:rFonts w:ascii="Traditional Arabic" w:hAnsi="Traditional Arabic" w:cs="Traditional Arabic"/>
          <w:sz w:val="40"/>
          <w:szCs w:val="40"/>
          <w:rtl/>
        </w:rPr>
        <w:t xml:space="preserve"> واحد أبرز هذه التعديلات ه</w:t>
      </w:r>
      <w:r w:rsidR="00ED0CB4">
        <w:rPr>
          <w:rFonts w:ascii="Traditional Arabic" w:hAnsi="Traditional Arabic" w:cs="Traditional Arabic" w:hint="cs"/>
          <w:sz w:val="40"/>
          <w:szCs w:val="40"/>
          <w:rtl/>
        </w:rPr>
        <w:t>و</w:t>
      </w:r>
      <w:r w:rsidRPr="00C406BC">
        <w:rPr>
          <w:rFonts w:ascii="Traditional Arabic" w:hAnsi="Traditional Arabic" w:cs="Traditional Arabic"/>
          <w:sz w:val="40"/>
          <w:szCs w:val="40"/>
          <w:rtl/>
        </w:rPr>
        <w:t xml:space="preserve"> إضافة فترة تقييد جديدة</w:t>
      </w:r>
      <w:r w:rsidR="00ED0CB4">
        <w:rPr>
          <w:rFonts w:ascii="Traditional Arabic" w:hAnsi="Traditional Arabic" w:cs="Traditional Arabic" w:hint="cs"/>
          <w:sz w:val="40"/>
          <w:szCs w:val="40"/>
          <w:rtl/>
        </w:rPr>
        <w:t xml:space="preserve">؛ حيث </w:t>
      </w:r>
      <w:r w:rsidRPr="00C406BC">
        <w:rPr>
          <w:rFonts w:ascii="Traditional Arabic" w:hAnsi="Traditional Arabic" w:cs="Traditional Arabic"/>
          <w:sz w:val="40"/>
          <w:szCs w:val="40"/>
          <w:rtl/>
        </w:rPr>
        <w:t>يحدد قانون المحاكم التجارية موعدًا نهائيًا مدته خمس سنوات للمطالبين لتقديم المطالبات، ما لم يتمكن المدعي من تقديم عذر مقبول</w:t>
      </w:r>
      <w:r w:rsidR="00ED0CB4">
        <w:rPr>
          <w:rFonts w:ascii="Traditional Arabic" w:hAnsi="Traditional Arabic" w:cs="Traditional Arabic" w:hint="cs"/>
          <w:sz w:val="40"/>
          <w:szCs w:val="40"/>
          <w:rtl/>
        </w:rPr>
        <w:t>،</w:t>
      </w:r>
      <w:r w:rsidRPr="00C406BC">
        <w:rPr>
          <w:rFonts w:ascii="Traditional Arabic" w:hAnsi="Traditional Arabic" w:cs="Traditional Arabic"/>
          <w:sz w:val="40"/>
          <w:szCs w:val="40"/>
          <w:rtl/>
        </w:rPr>
        <w:t xml:space="preserve"> </w:t>
      </w:r>
      <w:r w:rsidR="00ED0CB4">
        <w:rPr>
          <w:rFonts w:ascii="Traditional Arabic" w:hAnsi="Traditional Arabic" w:cs="Traditional Arabic" w:hint="cs"/>
          <w:sz w:val="40"/>
          <w:szCs w:val="40"/>
          <w:rtl/>
        </w:rPr>
        <w:t>و</w:t>
      </w:r>
      <w:r w:rsidRPr="00C406BC">
        <w:rPr>
          <w:rFonts w:ascii="Traditional Arabic" w:hAnsi="Traditional Arabic" w:cs="Traditional Arabic"/>
          <w:sz w:val="40"/>
          <w:szCs w:val="40"/>
          <w:rtl/>
        </w:rPr>
        <w:t>يعتبر هذا التغيير أمرًا مهمًا؛ حيث يتيح للمطالبين المزيد من الوقت لتقديم دعاواهم</w:t>
      </w:r>
      <w:r w:rsidR="00ED0CB4">
        <w:rPr>
          <w:rFonts w:ascii="Traditional Arabic" w:hAnsi="Traditional Arabic" w:cs="Traditional Arabic" w:hint="cs"/>
          <w:sz w:val="40"/>
          <w:szCs w:val="40"/>
          <w:rtl/>
        </w:rPr>
        <w:t>،</w:t>
      </w:r>
      <w:r w:rsidRPr="00C406BC">
        <w:rPr>
          <w:rFonts w:ascii="Traditional Arabic" w:hAnsi="Traditional Arabic" w:cs="Traditional Arabic"/>
          <w:sz w:val="40"/>
          <w:szCs w:val="40"/>
          <w:rtl/>
        </w:rPr>
        <w:t xml:space="preserve"> وتحقيقها</w:t>
      </w:r>
      <w:r w:rsidRPr="00C406BC">
        <w:rPr>
          <w:rFonts w:ascii="Traditional Arabic" w:hAnsi="Traditional Arabic" w:cs="Traditional Arabic"/>
          <w:sz w:val="40"/>
          <w:szCs w:val="40"/>
        </w:rPr>
        <w:t>.</w:t>
      </w:r>
    </w:p>
    <w:p w14:paraId="4CDE1106" w14:textId="4A4610B7" w:rsidR="00950D2F" w:rsidRPr="00C406BC" w:rsidRDefault="00ED0CB4" w:rsidP="00C406BC">
      <w:pPr>
        <w:spacing w:after="240" w:line="360" w:lineRule="auto"/>
        <w:ind w:firstLine="720"/>
        <w:jc w:val="both"/>
        <w:rPr>
          <w:rFonts w:ascii="Traditional Arabic" w:hAnsi="Traditional Arabic" w:cs="Traditional Arabic"/>
          <w:sz w:val="40"/>
          <w:szCs w:val="40"/>
        </w:rPr>
      </w:pPr>
      <w:r>
        <w:rPr>
          <w:rFonts w:ascii="Traditional Arabic" w:hAnsi="Traditional Arabic" w:cs="Traditional Arabic" w:hint="cs"/>
          <w:sz w:val="40"/>
          <w:szCs w:val="40"/>
          <w:rtl/>
        </w:rPr>
        <w:t xml:space="preserve">وهناك </w:t>
      </w:r>
      <w:r w:rsidR="00950D2F" w:rsidRPr="00C406BC">
        <w:rPr>
          <w:rFonts w:ascii="Traditional Arabic" w:hAnsi="Traditional Arabic" w:cs="Traditional Arabic"/>
          <w:sz w:val="40"/>
          <w:szCs w:val="40"/>
          <w:rtl/>
        </w:rPr>
        <w:t>تغيير آخر</w:t>
      </w:r>
      <w:r>
        <w:rPr>
          <w:rFonts w:ascii="Traditional Arabic" w:hAnsi="Traditional Arabic" w:cs="Traditional Arabic" w:hint="cs"/>
          <w:sz w:val="40"/>
          <w:szCs w:val="40"/>
          <w:rtl/>
        </w:rPr>
        <w:t>، وهو،</w:t>
      </w:r>
      <w:r w:rsidR="00950D2F" w:rsidRPr="00C406BC">
        <w:rPr>
          <w:rFonts w:ascii="Traditional Arabic" w:hAnsi="Traditional Arabic" w:cs="Traditional Arabic"/>
          <w:sz w:val="40"/>
          <w:szCs w:val="40"/>
          <w:rtl/>
        </w:rPr>
        <w:t xml:space="preserve"> هو قدرة المحكمة على استشارة المتخصصين لتوضيح القضايا الفنية في القوانين، والتجارة الدولية، أو اتفاقيات الاستثمار، والأنشطة ذات الصلة</w:t>
      </w:r>
      <w:r>
        <w:rPr>
          <w:rFonts w:ascii="Traditional Arabic" w:hAnsi="Traditional Arabic" w:cs="Traditional Arabic" w:hint="cs"/>
          <w:sz w:val="40"/>
          <w:szCs w:val="40"/>
          <w:rtl/>
        </w:rPr>
        <w:t>،</w:t>
      </w:r>
      <w:r w:rsidR="00950D2F" w:rsidRPr="00C406BC">
        <w:rPr>
          <w:rFonts w:ascii="Traditional Arabic" w:hAnsi="Traditional Arabic" w:cs="Traditional Arabic"/>
          <w:sz w:val="40"/>
          <w:szCs w:val="40"/>
          <w:rtl/>
        </w:rPr>
        <w:t xml:space="preserve"> </w:t>
      </w:r>
      <w:r>
        <w:rPr>
          <w:rFonts w:ascii="Traditional Arabic" w:hAnsi="Traditional Arabic" w:cs="Traditional Arabic" w:hint="cs"/>
          <w:sz w:val="40"/>
          <w:szCs w:val="40"/>
          <w:rtl/>
        </w:rPr>
        <w:t>و</w:t>
      </w:r>
      <w:r w:rsidR="00950D2F" w:rsidRPr="00C406BC">
        <w:rPr>
          <w:rFonts w:ascii="Traditional Arabic" w:hAnsi="Traditional Arabic" w:cs="Traditional Arabic"/>
          <w:sz w:val="40"/>
          <w:szCs w:val="40"/>
          <w:rtl/>
        </w:rPr>
        <w:t>سيساعد هذا الإجراء المحكمة على اتخاذ قراراتها بشكل أكثر فاعلية ودقة</w:t>
      </w:r>
      <w:r w:rsidR="00950D2F" w:rsidRPr="00C406BC">
        <w:rPr>
          <w:rFonts w:ascii="Traditional Arabic" w:hAnsi="Traditional Arabic" w:cs="Traditional Arabic"/>
          <w:sz w:val="40"/>
          <w:szCs w:val="40"/>
        </w:rPr>
        <w:t>.</w:t>
      </w:r>
    </w:p>
    <w:p w14:paraId="7F135ED6" w14:textId="01284B44" w:rsidR="00950D2F" w:rsidRPr="00C406BC" w:rsidRDefault="00950D2F" w:rsidP="00C406BC">
      <w:pPr>
        <w:spacing w:after="240" w:line="360" w:lineRule="auto"/>
        <w:ind w:firstLine="720"/>
        <w:jc w:val="both"/>
        <w:rPr>
          <w:rFonts w:ascii="Traditional Arabic" w:hAnsi="Traditional Arabic" w:cs="Traditional Arabic"/>
          <w:sz w:val="40"/>
          <w:szCs w:val="40"/>
        </w:rPr>
      </w:pPr>
      <w:r w:rsidRPr="00C406BC">
        <w:rPr>
          <w:rFonts w:ascii="Traditional Arabic" w:hAnsi="Traditional Arabic" w:cs="Traditional Arabic"/>
          <w:sz w:val="40"/>
          <w:szCs w:val="40"/>
          <w:rtl/>
        </w:rPr>
        <w:t>يقدم قانون المحاكم التجارية</w:t>
      </w:r>
      <w:r w:rsidRPr="00C406BC">
        <w:rPr>
          <w:rFonts w:ascii="Traditional Arabic" w:hAnsi="Traditional Arabic" w:cs="Traditional Arabic"/>
          <w:sz w:val="40"/>
          <w:szCs w:val="40"/>
        </w:rPr>
        <w:t xml:space="preserve"> (CCC) </w:t>
      </w:r>
      <w:r w:rsidRPr="00C406BC">
        <w:rPr>
          <w:rFonts w:ascii="Traditional Arabic" w:hAnsi="Traditional Arabic" w:cs="Traditional Arabic"/>
          <w:sz w:val="40"/>
          <w:szCs w:val="40"/>
          <w:rtl/>
        </w:rPr>
        <w:t>فترة تقييد للمطالبات التجارية</w:t>
      </w:r>
      <w:r w:rsidR="00ED0CB4">
        <w:rPr>
          <w:rFonts w:ascii="Traditional Arabic" w:hAnsi="Traditional Arabic" w:cs="Traditional Arabic" w:hint="cs"/>
          <w:sz w:val="40"/>
          <w:szCs w:val="40"/>
          <w:rtl/>
        </w:rPr>
        <w:t>؛</w:t>
      </w:r>
      <w:r w:rsidRPr="00C406BC">
        <w:rPr>
          <w:rFonts w:ascii="Traditional Arabic" w:hAnsi="Traditional Arabic" w:cs="Traditional Arabic"/>
          <w:sz w:val="40"/>
          <w:szCs w:val="40"/>
          <w:rtl/>
        </w:rPr>
        <w:t xml:space="preserve"> حيث يمنح هذا القانون مدة خمس سنوات للأطراف لتقديم دعوى تجارية أمام المحكمة</w:t>
      </w:r>
      <w:r w:rsidR="00ED0CB4">
        <w:rPr>
          <w:rFonts w:ascii="Traditional Arabic" w:hAnsi="Traditional Arabic" w:cs="Traditional Arabic" w:hint="cs"/>
          <w:sz w:val="40"/>
          <w:szCs w:val="40"/>
          <w:rtl/>
        </w:rPr>
        <w:t>،</w:t>
      </w:r>
      <w:r w:rsidRPr="00C406BC">
        <w:rPr>
          <w:rFonts w:ascii="Traditional Arabic" w:hAnsi="Traditional Arabic" w:cs="Traditional Arabic"/>
          <w:sz w:val="40"/>
          <w:szCs w:val="40"/>
          <w:rtl/>
        </w:rPr>
        <w:t xml:space="preserve"> </w:t>
      </w:r>
      <w:r w:rsidR="00ED0CB4">
        <w:rPr>
          <w:rFonts w:ascii="Traditional Arabic" w:hAnsi="Traditional Arabic" w:cs="Traditional Arabic" w:hint="cs"/>
          <w:sz w:val="40"/>
          <w:szCs w:val="40"/>
          <w:rtl/>
        </w:rPr>
        <w:t>و</w:t>
      </w:r>
      <w:r w:rsidRPr="00C406BC">
        <w:rPr>
          <w:rFonts w:ascii="Traditional Arabic" w:hAnsi="Traditional Arabic" w:cs="Traditional Arabic"/>
          <w:sz w:val="40"/>
          <w:szCs w:val="40"/>
          <w:rtl/>
        </w:rPr>
        <w:t>يعد هذا التغيير خطوة جريئة نحو تحديث نظام المحاكم في المملكة العربية السعودية</w:t>
      </w:r>
      <w:r w:rsidR="00ED0CB4">
        <w:rPr>
          <w:rFonts w:ascii="Traditional Arabic" w:hAnsi="Traditional Arabic" w:cs="Traditional Arabic" w:hint="cs"/>
          <w:sz w:val="40"/>
          <w:szCs w:val="40"/>
          <w:rtl/>
        </w:rPr>
        <w:t>؛</w:t>
      </w:r>
      <w:r w:rsidRPr="00C406BC">
        <w:rPr>
          <w:rFonts w:ascii="Traditional Arabic" w:hAnsi="Traditional Arabic" w:cs="Traditional Arabic"/>
          <w:sz w:val="40"/>
          <w:szCs w:val="40"/>
          <w:rtl/>
        </w:rPr>
        <w:t xml:space="preserve"> حيث يتضمن مجموعة واسعة من التحسينات للشركات العاملة في المملكة</w:t>
      </w:r>
      <w:r w:rsidRPr="00C406BC">
        <w:rPr>
          <w:rFonts w:ascii="Traditional Arabic" w:hAnsi="Traditional Arabic" w:cs="Traditional Arabic"/>
          <w:sz w:val="40"/>
          <w:szCs w:val="40"/>
        </w:rPr>
        <w:t>.</w:t>
      </w:r>
    </w:p>
    <w:p w14:paraId="252A266A" w14:textId="137445B2" w:rsidR="00950D2F" w:rsidRPr="00C406BC" w:rsidRDefault="00950D2F" w:rsidP="00C406BC">
      <w:pPr>
        <w:spacing w:after="240" w:line="360" w:lineRule="auto"/>
        <w:ind w:firstLine="720"/>
        <w:jc w:val="both"/>
        <w:rPr>
          <w:rFonts w:ascii="Traditional Arabic" w:hAnsi="Traditional Arabic" w:cs="Traditional Arabic"/>
          <w:sz w:val="40"/>
          <w:szCs w:val="40"/>
        </w:rPr>
      </w:pPr>
      <w:r w:rsidRPr="00C406BC">
        <w:rPr>
          <w:rFonts w:ascii="Traditional Arabic" w:hAnsi="Traditional Arabic" w:cs="Traditional Arabic"/>
          <w:sz w:val="40"/>
          <w:szCs w:val="40"/>
          <w:rtl/>
        </w:rPr>
        <w:lastRenderedPageBreak/>
        <w:t>بموجب</w:t>
      </w:r>
      <w:r w:rsidRPr="00C406BC">
        <w:rPr>
          <w:rFonts w:ascii="Traditional Arabic" w:hAnsi="Traditional Arabic" w:cs="Traditional Arabic"/>
          <w:sz w:val="40"/>
          <w:szCs w:val="40"/>
        </w:rPr>
        <w:t xml:space="preserve"> CCC</w:t>
      </w:r>
      <w:r w:rsidRPr="00C406BC">
        <w:rPr>
          <w:rFonts w:ascii="Traditional Arabic" w:hAnsi="Traditional Arabic" w:cs="Traditional Arabic"/>
          <w:sz w:val="40"/>
          <w:szCs w:val="40"/>
          <w:rtl/>
        </w:rPr>
        <w:t>، يتعين أن يكون جميع الشركاء</w:t>
      </w:r>
      <w:r w:rsidR="00ED0CB4">
        <w:rPr>
          <w:rFonts w:ascii="Traditional Arabic" w:hAnsi="Traditional Arabic" w:cs="Traditional Arabic" w:hint="cs"/>
          <w:sz w:val="40"/>
          <w:szCs w:val="40"/>
          <w:rtl/>
        </w:rPr>
        <w:t>،</w:t>
      </w:r>
      <w:r w:rsidRPr="00C406BC">
        <w:rPr>
          <w:rFonts w:ascii="Traditional Arabic" w:hAnsi="Traditional Arabic" w:cs="Traditional Arabic"/>
          <w:sz w:val="40"/>
          <w:szCs w:val="40"/>
          <w:rtl/>
        </w:rPr>
        <w:t xml:space="preserve"> والإدارة في الشركات السعودية من المواطنين السعوديين</w:t>
      </w:r>
      <w:r w:rsidR="00ED0CB4">
        <w:rPr>
          <w:rFonts w:ascii="Traditional Arabic" w:hAnsi="Traditional Arabic" w:cs="Traditional Arabic" w:hint="cs"/>
          <w:sz w:val="40"/>
          <w:szCs w:val="40"/>
          <w:rtl/>
        </w:rPr>
        <w:t>،و</w:t>
      </w:r>
      <w:r w:rsidRPr="00C406BC">
        <w:rPr>
          <w:rFonts w:ascii="Traditional Arabic" w:hAnsi="Traditional Arabic" w:cs="Traditional Arabic"/>
          <w:sz w:val="40"/>
          <w:szCs w:val="40"/>
          <w:rtl/>
        </w:rPr>
        <w:t xml:space="preserve"> بالإضافة إلى ذلك، فإن المهلة الزمنية لتقديم المطالبات التجارية هي ثلاث سنوات من تاريخ الفعل</w:t>
      </w:r>
      <w:r w:rsidR="00ED0CB4">
        <w:rPr>
          <w:rFonts w:ascii="Traditional Arabic" w:hAnsi="Traditional Arabic" w:cs="Traditional Arabic" w:hint="cs"/>
          <w:sz w:val="40"/>
          <w:szCs w:val="40"/>
          <w:rtl/>
        </w:rPr>
        <w:t>،</w:t>
      </w:r>
      <w:r w:rsidRPr="00C406BC">
        <w:rPr>
          <w:rFonts w:ascii="Traditional Arabic" w:hAnsi="Traditional Arabic" w:cs="Traditional Arabic"/>
          <w:sz w:val="40"/>
          <w:szCs w:val="40"/>
          <w:rtl/>
        </w:rPr>
        <w:t xml:space="preserve"> أو الإهمال الذي أدى إلى النز</w:t>
      </w:r>
      <w:r w:rsidR="00ED0CB4">
        <w:rPr>
          <w:rFonts w:ascii="Traditional Arabic" w:hAnsi="Traditional Arabic" w:cs="Traditional Arabic" w:hint="cs"/>
          <w:sz w:val="40"/>
          <w:szCs w:val="40"/>
          <w:rtl/>
        </w:rPr>
        <w:t>اع،</w:t>
      </w:r>
      <w:r w:rsidRPr="00C406BC">
        <w:rPr>
          <w:rFonts w:ascii="Traditional Arabic" w:hAnsi="Traditional Arabic" w:cs="Traditional Arabic"/>
          <w:sz w:val="40"/>
          <w:szCs w:val="40"/>
          <w:rtl/>
        </w:rPr>
        <w:t xml:space="preserve"> </w:t>
      </w:r>
      <w:r w:rsidR="00ED0CB4">
        <w:rPr>
          <w:rFonts w:ascii="Traditional Arabic" w:hAnsi="Traditional Arabic" w:cs="Traditional Arabic" w:hint="cs"/>
          <w:sz w:val="40"/>
          <w:szCs w:val="40"/>
          <w:rtl/>
        </w:rPr>
        <w:t>و</w:t>
      </w:r>
      <w:r w:rsidRPr="00C406BC">
        <w:rPr>
          <w:rFonts w:ascii="Traditional Arabic" w:hAnsi="Traditional Arabic" w:cs="Traditional Arabic"/>
          <w:sz w:val="40"/>
          <w:szCs w:val="40"/>
          <w:rtl/>
        </w:rPr>
        <w:t>هذا</w:t>
      </w:r>
      <w:r w:rsidR="00ED0CB4">
        <w:rPr>
          <w:rFonts w:ascii="Traditional Arabic" w:hAnsi="Traditional Arabic" w:cs="Traditional Arabic" w:hint="cs"/>
          <w:sz w:val="40"/>
          <w:szCs w:val="40"/>
          <w:rtl/>
        </w:rPr>
        <w:t xml:space="preserve"> يعني</w:t>
      </w:r>
      <w:r w:rsidRPr="00C406BC">
        <w:rPr>
          <w:rFonts w:ascii="Traditional Arabic" w:hAnsi="Traditional Arabic" w:cs="Traditional Arabic"/>
          <w:sz w:val="40"/>
          <w:szCs w:val="40"/>
          <w:rtl/>
        </w:rPr>
        <w:t xml:space="preserve"> أن الشركات يمكنها أن تكون على ثقة بأن النزاعات ستُحَل في إطار زمني مناسب</w:t>
      </w:r>
      <w:r w:rsidRPr="00C406BC">
        <w:rPr>
          <w:rFonts w:ascii="Traditional Arabic" w:hAnsi="Traditional Arabic" w:cs="Traditional Arabic"/>
          <w:sz w:val="40"/>
          <w:szCs w:val="40"/>
        </w:rPr>
        <w:t>.</w:t>
      </w:r>
    </w:p>
    <w:p w14:paraId="5D106EEC" w14:textId="257B4FAD" w:rsidR="00950D2F" w:rsidRPr="00C406BC" w:rsidRDefault="00950D2F" w:rsidP="00C406BC">
      <w:pPr>
        <w:spacing w:after="240" w:line="360" w:lineRule="auto"/>
        <w:ind w:firstLine="720"/>
        <w:jc w:val="both"/>
        <w:rPr>
          <w:rFonts w:ascii="Traditional Arabic" w:hAnsi="Traditional Arabic" w:cs="Traditional Arabic"/>
          <w:sz w:val="40"/>
          <w:szCs w:val="40"/>
          <w:rtl/>
        </w:rPr>
      </w:pPr>
      <w:r w:rsidRPr="00C406BC">
        <w:rPr>
          <w:rFonts w:ascii="Traditional Arabic" w:hAnsi="Traditional Arabic" w:cs="Traditional Arabic"/>
          <w:sz w:val="40"/>
          <w:szCs w:val="40"/>
          <w:rtl/>
        </w:rPr>
        <w:t>يمثل قانون الشركات التجارية في المملكة</w:t>
      </w:r>
      <w:r w:rsidRPr="00C406BC">
        <w:rPr>
          <w:rFonts w:ascii="Traditional Arabic" w:hAnsi="Traditional Arabic" w:cs="Traditional Arabic"/>
          <w:sz w:val="40"/>
          <w:szCs w:val="40"/>
        </w:rPr>
        <w:t xml:space="preserve"> (CCL) </w:t>
      </w:r>
      <w:r w:rsidRPr="00C406BC">
        <w:rPr>
          <w:rFonts w:ascii="Traditional Arabic" w:hAnsi="Traditional Arabic" w:cs="Traditional Arabic"/>
          <w:sz w:val="40"/>
          <w:szCs w:val="40"/>
          <w:rtl/>
        </w:rPr>
        <w:t xml:space="preserve">خطوة مهمة إلى الأمام بالنسبة للشركات السعودية، </w:t>
      </w:r>
      <w:r w:rsidR="00DC73BA">
        <w:rPr>
          <w:rFonts w:ascii="Traditional Arabic" w:hAnsi="Traditional Arabic" w:cs="Traditional Arabic" w:hint="cs"/>
          <w:sz w:val="40"/>
          <w:szCs w:val="40"/>
          <w:rtl/>
        </w:rPr>
        <w:t xml:space="preserve">كما </w:t>
      </w:r>
      <w:r w:rsidRPr="00C406BC">
        <w:rPr>
          <w:rFonts w:ascii="Traditional Arabic" w:hAnsi="Traditional Arabic" w:cs="Traditional Arabic"/>
          <w:sz w:val="40"/>
          <w:szCs w:val="40"/>
          <w:rtl/>
        </w:rPr>
        <w:t>يُعتبر علامة على التزام الحكومة المتنامي بتعزيز التنمية الاقتصادية</w:t>
      </w:r>
      <w:r w:rsidR="00DC73BA">
        <w:rPr>
          <w:rFonts w:ascii="Traditional Arabic" w:hAnsi="Traditional Arabic" w:cs="Traditional Arabic" w:hint="cs"/>
          <w:sz w:val="40"/>
          <w:szCs w:val="40"/>
          <w:rtl/>
        </w:rPr>
        <w:t>،</w:t>
      </w:r>
      <w:r w:rsidRPr="00C406BC">
        <w:rPr>
          <w:rFonts w:ascii="Traditional Arabic" w:hAnsi="Traditional Arabic" w:cs="Traditional Arabic"/>
          <w:sz w:val="40"/>
          <w:szCs w:val="40"/>
          <w:rtl/>
        </w:rPr>
        <w:t xml:space="preserve"> وإنشاء نظام قانوني عادل</w:t>
      </w:r>
      <w:r w:rsidR="00DC73BA">
        <w:rPr>
          <w:rFonts w:ascii="Traditional Arabic" w:hAnsi="Traditional Arabic" w:cs="Traditional Arabic" w:hint="cs"/>
          <w:sz w:val="40"/>
          <w:szCs w:val="40"/>
          <w:rtl/>
        </w:rPr>
        <w:t>،</w:t>
      </w:r>
      <w:r w:rsidRPr="00C406BC">
        <w:rPr>
          <w:rFonts w:ascii="Traditional Arabic" w:hAnsi="Traditional Arabic" w:cs="Traditional Arabic"/>
          <w:sz w:val="40"/>
          <w:szCs w:val="40"/>
          <w:rtl/>
        </w:rPr>
        <w:t xml:space="preserve"> وفعّال</w:t>
      </w:r>
      <w:r w:rsidRPr="00C406BC">
        <w:rPr>
          <w:rFonts w:ascii="Traditional Arabic" w:hAnsi="Traditional Arabic" w:cs="Traditional Arabic"/>
          <w:sz w:val="40"/>
          <w:szCs w:val="40"/>
        </w:rPr>
        <w:t>.</w:t>
      </w:r>
    </w:p>
    <w:p w14:paraId="04E00FE4" w14:textId="35B91626" w:rsidR="00950D2F" w:rsidRPr="00C406BC" w:rsidRDefault="00DC73BA" w:rsidP="00C406BC">
      <w:pPr>
        <w:spacing w:after="240" w:line="360" w:lineRule="auto"/>
        <w:ind w:firstLine="720"/>
        <w:jc w:val="both"/>
        <w:rPr>
          <w:rFonts w:ascii="Traditional Arabic" w:hAnsi="Traditional Arabic" w:cs="Traditional Arabic"/>
          <w:sz w:val="40"/>
          <w:szCs w:val="40"/>
        </w:rPr>
      </w:pPr>
      <w:r>
        <w:rPr>
          <w:rFonts w:ascii="Traditional Arabic" w:hAnsi="Traditional Arabic" w:cs="Traditional Arabic" w:hint="cs"/>
          <w:sz w:val="40"/>
          <w:szCs w:val="40"/>
          <w:rtl/>
        </w:rPr>
        <w:t xml:space="preserve">إن </w:t>
      </w:r>
      <w:r w:rsidR="00950D2F" w:rsidRPr="00C406BC">
        <w:rPr>
          <w:rFonts w:ascii="Traditional Arabic" w:hAnsi="Traditional Arabic" w:cs="Traditional Arabic"/>
          <w:sz w:val="40"/>
          <w:szCs w:val="40"/>
          <w:rtl/>
        </w:rPr>
        <w:t>تحديد فترة التقادم في قانون التجارة السعودي عنصر حيوي</w:t>
      </w:r>
      <w:r>
        <w:rPr>
          <w:rFonts w:ascii="Traditional Arabic" w:hAnsi="Traditional Arabic" w:cs="Traditional Arabic" w:hint="cs"/>
          <w:sz w:val="40"/>
          <w:szCs w:val="40"/>
          <w:rtl/>
        </w:rPr>
        <w:t>،</w:t>
      </w:r>
      <w:r w:rsidR="00950D2F" w:rsidRPr="00C406BC">
        <w:rPr>
          <w:rFonts w:ascii="Traditional Arabic" w:hAnsi="Traditional Arabic" w:cs="Traditional Arabic"/>
          <w:sz w:val="40"/>
          <w:szCs w:val="40"/>
          <w:rtl/>
        </w:rPr>
        <w:t xml:space="preserve"> يشكل تحديًا للأطراف المعنية</w:t>
      </w:r>
      <w:r>
        <w:rPr>
          <w:rFonts w:ascii="Traditional Arabic" w:hAnsi="Traditional Arabic" w:cs="Traditional Arabic" w:hint="cs"/>
          <w:sz w:val="40"/>
          <w:szCs w:val="40"/>
          <w:rtl/>
        </w:rPr>
        <w:t>؛</w:t>
      </w:r>
      <w:r w:rsidR="00950D2F" w:rsidRPr="00C406BC">
        <w:rPr>
          <w:rFonts w:ascii="Traditional Arabic" w:hAnsi="Traditional Arabic" w:cs="Traditional Arabic"/>
          <w:sz w:val="40"/>
          <w:szCs w:val="40"/>
          <w:rtl/>
        </w:rPr>
        <w:t xml:space="preserve"> حيث تم تحديدها بخمس سنوات من تاريخ الواقعة المتعلقة بالدعوى</w:t>
      </w:r>
      <w:r>
        <w:rPr>
          <w:rFonts w:ascii="Traditional Arabic" w:hAnsi="Traditional Arabic" w:cs="Traditional Arabic" w:hint="cs"/>
          <w:sz w:val="40"/>
          <w:szCs w:val="40"/>
          <w:rtl/>
        </w:rPr>
        <w:t>،</w:t>
      </w:r>
      <w:r w:rsidR="00950D2F" w:rsidRPr="00C406BC">
        <w:rPr>
          <w:rFonts w:ascii="Traditional Arabic" w:hAnsi="Traditional Arabic" w:cs="Traditional Arabic"/>
          <w:sz w:val="40"/>
          <w:szCs w:val="40"/>
          <w:rtl/>
        </w:rPr>
        <w:t xml:space="preserve"> </w:t>
      </w:r>
      <w:r>
        <w:rPr>
          <w:rFonts w:ascii="Traditional Arabic" w:hAnsi="Traditional Arabic" w:cs="Traditional Arabic" w:hint="cs"/>
          <w:sz w:val="40"/>
          <w:szCs w:val="40"/>
          <w:rtl/>
        </w:rPr>
        <w:t>و</w:t>
      </w:r>
      <w:r w:rsidR="00950D2F" w:rsidRPr="00C406BC">
        <w:rPr>
          <w:rFonts w:ascii="Traditional Arabic" w:hAnsi="Traditional Arabic" w:cs="Traditional Arabic"/>
          <w:sz w:val="40"/>
          <w:szCs w:val="40"/>
          <w:rtl/>
        </w:rPr>
        <w:t>هذا يعني أن أي مطالبات تُقدم بعد مضي خمس سنوات تُرفض تلقائيًا</w:t>
      </w:r>
      <w:r>
        <w:rPr>
          <w:rFonts w:ascii="Traditional Arabic" w:hAnsi="Traditional Arabic" w:cs="Traditional Arabic" w:hint="cs"/>
          <w:sz w:val="40"/>
          <w:szCs w:val="40"/>
          <w:rtl/>
        </w:rPr>
        <w:t>،</w:t>
      </w:r>
      <w:r w:rsidR="00950D2F" w:rsidRPr="00C406BC">
        <w:rPr>
          <w:rFonts w:ascii="Traditional Arabic" w:hAnsi="Traditional Arabic" w:cs="Traditional Arabic"/>
          <w:sz w:val="40"/>
          <w:szCs w:val="40"/>
          <w:rtl/>
        </w:rPr>
        <w:t xml:space="preserve"> بالإضافة إلى ذلك،</w:t>
      </w:r>
      <w:r>
        <w:rPr>
          <w:rFonts w:ascii="Traditional Arabic" w:hAnsi="Traditional Arabic" w:cs="Traditional Arabic" w:hint="cs"/>
          <w:sz w:val="40"/>
          <w:szCs w:val="40"/>
          <w:rtl/>
        </w:rPr>
        <w:t xml:space="preserve"> فإن</w:t>
      </w:r>
      <w:r w:rsidR="00950D2F" w:rsidRPr="00C406BC">
        <w:rPr>
          <w:rFonts w:ascii="Traditional Arabic" w:hAnsi="Traditional Arabic" w:cs="Traditional Arabic"/>
          <w:sz w:val="40"/>
          <w:szCs w:val="40"/>
          <w:rtl/>
        </w:rPr>
        <w:t xml:space="preserve"> اختصاص المحاكم التجارية في المملكة العربية السعودية</w:t>
      </w:r>
      <w:r>
        <w:rPr>
          <w:rFonts w:ascii="Traditional Arabic" w:hAnsi="Traditional Arabic" w:cs="Traditional Arabic" w:hint="cs"/>
          <w:sz w:val="40"/>
          <w:szCs w:val="40"/>
          <w:rtl/>
        </w:rPr>
        <w:t xml:space="preserve"> يقتصر</w:t>
      </w:r>
      <w:r w:rsidR="00950D2F" w:rsidRPr="00C406BC">
        <w:rPr>
          <w:rFonts w:ascii="Traditional Arabic" w:hAnsi="Traditional Arabic" w:cs="Traditional Arabic"/>
          <w:sz w:val="40"/>
          <w:szCs w:val="40"/>
          <w:rtl/>
        </w:rPr>
        <w:t xml:space="preserve"> على القضايا التجارية فقط، ولا تشمل النزاعات غير التجارية</w:t>
      </w:r>
      <w:r>
        <w:rPr>
          <w:rFonts w:ascii="Traditional Arabic" w:hAnsi="Traditional Arabic" w:cs="Traditional Arabic" w:hint="cs"/>
          <w:sz w:val="40"/>
          <w:szCs w:val="40"/>
          <w:rtl/>
        </w:rPr>
        <w:t>؛</w:t>
      </w:r>
      <w:r w:rsidR="00950D2F" w:rsidRPr="00C406BC">
        <w:rPr>
          <w:rFonts w:ascii="Traditional Arabic" w:hAnsi="Traditional Arabic" w:cs="Traditional Arabic"/>
          <w:sz w:val="40"/>
          <w:szCs w:val="40"/>
          <w:rtl/>
        </w:rPr>
        <w:t xml:space="preserve"> مثل الإصابات الشخصية</w:t>
      </w:r>
      <w:r>
        <w:rPr>
          <w:rFonts w:ascii="Traditional Arabic" w:hAnsi="Traditional Arabic" w:cs="Traditional Arabic" w:hint="cs"/>
          <w:sz w:val="40"/>
          <w:szCs w:val="40"/>
          <w:rtl/>
        </w:rPr>
        <w:t xml:space="preserve">، </w:t>
      </w:r>
      <w:r w:rsidR="00950D2F" w:rsidRPr="00C406BC">
        <w:rPr>
          <w:rFonts w:ascii="Traditional Arabic" w:hAnsi="Traditional Arabic" w:cs="Traditional Arabic"/>
          <w:sz w:val="40"/>
          <w:szCs w:val="40"/>
          <w:rtl/>
        </w:rPr>
        <w:t>أو تلف الممتلكات</w:t>
      </w:r>
      <w:r w:rsidR="00950D2F" w:rsidRPr="00C406BC">
        <w:rPr>
          <w:rFonts w:ascii="Traditional Arabic" w:hAnsi="Traditional Arabic" w:cs="Traditional Arabic"/>
          <w:sz w:val="40"/>
          <w:szCs w:val="40"/>
        </w:rPr>
        <w:t>.</w:t>
      </w:r>
    </w:p>
    <w:p w14:paraId="22CE5281" w14:textId="4FF89DF7" w:rsidR="00950D2F" w:rsidRPr="00C406BC" w:rsidRDefault="00DC73BA" w:rsidP="00C406BC">
      <w:pPr>
        <w:spacing w:after="240" w:line="360" w:lineRule="auto"/>
        <w:ind w:firstLine="720"/>
        <w:rPr>
          <w:rFonts w:ascii="Traditional Arabic" w:hAnsi="Traditional Arabic" w:cs="Traditional Arabic"/>
          <w:sz w:val="40"/>
          <w:szCs w:val="40"/>
        </w:rPr>
      </w:pPr>
      <w:r>
        <w:rPr>
          <w:rFonts w:ascii="Traditional Arabic" w:hAnsi="Traditional Arabic" w:cs="Traditional Arabic" w:hint="cs"/>
          <w:sz w:val="40"/>
          <w:szCs w:val="40"/>
          <w:rtl/>
        </w:rPr>
        <w:lastRenderedPageBreak/>
        <w:t>إن</w:t>
      </w:r>
      <w:r w:rsidR="00950D2F" w:rsidRPr="00C406BC">
        <w:rPr>
          <w:rFonts w:ascii="Traditional Arabic" w:hAnsi="Traditional Arabic" w:cs="Traditional Arabic"/>
          <w:sz w:val="40"/>
          <w:szCs w:val="40"/>
          <w:rtl/>
        </w:rPr>
        <w:t xml:space="preserve"> هذا التغيير في القانون </w:t>
      </w:r>
      <w:r>
        <w:rPr>
          <w:rFonts w:ascii="Traditional Arabic" w:hAnsi="Traditional Arabic" w:cs="Traditional Arabic" w:hint="cs"/>
          <w:sz w:val="40"/>
          <w:szCs w:val="40"/>
          <w:rtl/>
        </w:rPr>
        <w:t xml:space="preserve">يعد </w:t>
      </w:r>
      <w:r w:rsidR="00950D2F" w:rsidRPr="00C406BC">
        <w:rPr>
          <w:rFonts w:ascii="Traditional Arabic" w:hAnsi="Traditional Arabic" w:cs="Traditional Arabic"/>
          <w:sz w:val="40"/>
          <w:szCs w:val="40"/>
          <w:rtl/>
        </w:rPr>
        <w:t>خطوة مهمة نحو تحديث النظام القضائي، والذي من شأنه تعزيز كفاءة بيئة الأعمال في المملكة السعودية</w:t>
      </w:r>
      <w:r>
        <w:rPr>
          <w:rFonts w:ascii="Traditional Arabic" w:hAnsi="Traditional Arabic" w:cs="Traditional Arabic" w:hint="cs"/>
          <w:sz w:val="40"/>
          <w:szCs w:val="40"/>
          <w:rtl/>
        </w:rPr>
        <w:t>،</w:t>
      </w:r>
      <w:r w:rsidR="00950D2F" w:rsidRPr="00C406BC">
        <w:rPr>
          <w:rFonts w:ascii="Traditional Arabic" w:hAnsi="Traditional Arabic" w:cs="Traditional Arabic"/>
          <w:sz w:val="40"/>
          <w:szCs w:val="40"/>
          <w:rtl/>
        </w:rPr>
        <w:t xml:space="preserve"> ومع ذلك، يجب مراعاة بعض التحذيرات المتعلقة بهذا التغيير الرئيسي</w:t>
      </w:r>
      <w:r w:rsidR="00950D2F" w:rsidRPr="00C406BC">
        <w:rPr>
          <w:rFonts w:ascii="Traditional Arabic" w:hAnsi="Traditional Arabic" w:cs="Traditional Arabic"/>
          <w:sz w:val="40"/>
          <w:szCs w:val="40"/>
        </w:rPr>
        <w:t>.</w:t>
      </w:r>
    </w:p>
    <w:p w14:paraId="603FECF0" w14:textId="51ACCEDD" w:rsidR="00950D2F" w:rsidRPr="00C406BC" w:rsidRDefault="00DC73BA" w:rsidP="00C406BC">
      <w:pPr>
        <w:spacing w:after="240" w:line="360" w:lineRule="auto"/>
        <w:ind w:firstLine="720"/>
        <w:rPr>
          <w:rFonts w:ascii="Traditional Arabic" w:hAnsi="Traditional Arabic" w:cs="Traditional Arabic"/>
          <w:sz w:val="40"/>
          <w:szCs w:val="40"/>
        </w:rPr>
      </w:pPr>
      <w:r>
        <w:rPr>
          <w:rFonts w:ascii="Traditional Arabic" w:hAnsi="Traditional Arabic" w:cs="Traditional Arabic" w:hint="cs"/>
          <w:sz w:val="40"/>
          <w:szCs w:val="40"/>
          <w:rtl/>
        </w:rPr>
        <w:t xml:space="preserve">إن </w:t>
      </w:r>
      <w:r w:rsidR="00950D2F" w:rsidRPr="00C406BC">
        <w:rPr>
          <w:rFonts w:ascii="Traditional Arabic" w:hAnsi="Traditional Arabic" w:cs="Traditional Arabic"/>
          <w:sz w:val="40"/>
          <w:szCs w:val="40"/>
          <w:rtl/>
        </w:rPr>
        <w:t>أحد الجوانب الرئيسية لهذا القانون هو تحديد الفترة المسموح فيها لتقديم الدعاوى أمام المحاكم التجارية</w:t>
      </w:r>
      <w:r>
        <w:rPr>
          <w:rFonts w:ascii="Traditional Arabic" w:hAnsi="Traditional Arabic" w:cs="Traditional Arabic" w:hint="cs"/>
          <w:sz w:val="40"/>
          <w:szCs w:val="40"/>
          <w:rtl/>
        </w:rPr>
        <w:t>،</w:t>
      </w:r>
      <w:r w:rsidR="00950D2F" w:rsidRPr="00C406BC">
        <w:rPr>
          <w:rFonts w:ascii="Traditional Arabic" w:hAnsi="Traditional Arabic" w:cs="Traditional Arabic"/>
          <w:sz w:val="40"/>
          <w:szCs w:val="40"/>
          <w:rtl/>
        </w:rPr>
        <w:t xml:space="preserve"> وهذا يشكل تحديًا للشركات الذين يحتاجون إلى متابعة مطالباتهم ضمن فترة زمنية محددة</w:t>
      </w:r>
      <w:r>
        <w:rPr>
          <w:rFonts w:ascii="Traditional Arabic" w:hAnsi="Traditional Arabic" w:cs="Traditional Arabic" w:hint="cs"/>
          <w:sz w:val="40"/>
          <w:szCs w:val="40"/>
          <w:rtl/>
        </w:rPr>
        <w:t>،</w:t>
      </w:r>
      <w:r w:rsidR="00950D2F" w:rsidRPr="00C406BC">
        <w:rPr>
          <w:rFonts w:ascii="Traditional Arabic" w:hAnsi="Traditional Arabic" w:cs="Traditional Arabic"/>
          <w:sz w:val="40"/>
          <w:szCs w:val="40"/>
          <w:rtl/>
        </w:rPr>
        <w:t xml:space="preserve"> </w:t>
      </w:r>
      <w:r>
        <w:rPr>
          <w:rFonts w:ascii="Traditional Arabic" w:hAnsi="Traditional Arabic" w:cs="Traditional Arabic" w:hint="cs"/>
          <w:sz w:val="40"/>
          <w:szCs w:val="40"/>
          <w:rtl/>
        </w:rPr>
        <w:t>و</w:t>
      </w:r>
      <w:r w:rsidR="00950D2F" w:rsidRPr="00C406BC">
        <w:rPr>
          <w:rFonts w:ascii="Traditional Arabic" w:hAnsi="Traditional Arabic" w:cs="Traditional Arabic"/>
          <w:sz w:val="40"/>
          <w:szCs w:val="40"/>
          <w:rtl/>
        </w:rPr>
        <w:t xml:space="preserve">علاوة على ذلك، </w:t>
      </w:r>
      <w:r>
        <w:rPr>
          <w:rFonts w:ascii="Traditional Arabic" w:hAnsi="Traditional Arabic" w:cs="Traditional Arabic" w:hint="cs"/>
          <w:sz w:val="40"/>
          <w:szCs w:val="40"/>
          <w:rtl/>
        </w:rPr>
        <w:t xml:space="preserve">فإنه </w:t>
      </w:r>
      <w:r w:rsidR="00950D2F" w:rsidRPr="00C406BC">
        <w:rPr>
          <w:rFonts w:ascii="Traditional Arabic" w:hAnsi="Traditional Arabic" w:cs="Traditional Arabic"/>
          <w:sz w:val="40"/>
          <w:szCs w:val="40"/>
          <w:rtl/>
        </w:rPr>
        <w:t>يُنهي أي دعوى مرفوعة أمام المحاكم التجارية بعد مضي خمس سنوات ما لم تحدد المحكمة خلافًا</w:t>
      </w:r>
      <w:r w:rsidR="00950D2F" w:rsidRPr="00C406BC">
        <w:rPr>
          <w:rFonts w:ascii="Traditional Arabic" w:hAnsi="Traditional Arabic" w:cs="Traditional Arabic"/>
          <w:sz w:val="40"/>
          <w:szCs w:val="40"/>
        </w:rPr>
        <w:t>.</w:t>
      </w:r>
    </w:p>
    <w:p w14:paraId="4A1D9927" w14:textId="165AC82A" w:rsidR="00950D2F" w:rsidRPr="00C406BC" w:rsidRDefault="00950D2F" w:rsidP="00C406BC">
      <w:pPr>
        <w:spacing w:after="240" w:line="360" w:lineRule="auto"/>
        <w:ind w:firstLine="720"/>
        <w:rPr>
          <w:rFonts w:ascii="Traditional Arabic" w:hAnsi="Traditional Arabic" w:cs="Traditional Arabic"/>
          <w:sz w:val="40"/>
          <w:szCs w:val="40"/>
          <w:rtl/>
        </w:rPr>
      </w:pPr>
      <w:r w:rsidRPr="00C406BC">
        <w:rPr>
          <w:rFonts w:ascii="Traditional Arabic" w:hAnsi="Traditional Arabic" w:cs="Traditional Arabic"/>
          <w:sz w:val="40"/>
          <w:szCs w:val="40"/>
          <w:rtl/>
        </w:rPr>
        <w:t>على الرغم من أن هذه القيود وضعت لحماية الشركات من المطالبات غير المبررة، إلا أن تنفيذها قد يكون تحديً</w:t>
      </w:r>
      <w:r w:rsidR="00DC73BA">
        <w:rPr>
          <w:rFonts w:ascii="Traditional Arabic" w:hAnsi="Traditional Arabic" w:cs="Traditional Arabic" w:hint="cs"/>
          <w:sz w:val="40"/>
          <w:szCs w:val="40"/>
          <w:rtl/>
        </w:rPr>
        <w:t>ا، ولهذا، فإنه</w:t>
      </w:r>
      <w:r w:rsidRPr="00C406BC">
        <w:rPr>
          <w:rFonts w:ascii="Traditional Arabic" w:hAnsi="Traditional Arabic" w:cs="Traditional Arabic"/>
          <w:sz w:val="40"/>
          <w:szCs w:val="40"/>
          <w:rtl/>
        </w:rPr>
        <w:t xml:space="preserve"> من الضروري أن تتبع الشركات حقوقها القانونية</w:t>
      </w:r>
      <w:r w:rsidR="00DC73BA">
        <w:rPr>
          <w:rFonts w:ascii="Traditional Arabic" w:hAnsi="Traditional Arabic" w:cs="Traditional Arabic" w:hint="cs"/>
          <w:sz w:val="40"/>
          <w:szCs w:val="40"/>
          <w:rtl/>
        </w:rPr>
        <w:t>،</w:t>
      </w:r>
      <w:r w:rsidRPr="00C406BC">
        <w:rPr>
          <w:rFonts w:ascii="Traditional Arabic" w:hAnsi="Traditional Arabic" w:cs="Traditional Arabic"/>
          <w:sz w:val="40"/>
          <w:szCs w:val="40"/>
          <w:rtl/>
        </w:rPr>
        <w:t xml:space="preserve"> وتتخذ الإجراءات الضرورية لحماية مصالحها بسرعة</w:t>
      </w:r>
      <w:r w:rsidR="00DC73BA">
        <w:rPr>
          <w:rFonts w:ascii="Traditional Arabic" w:hAnsi="Traditional Arabic" w:cs="Traditional Arabic" w:hint="cs"/>
          <w:sz w:val="40"/>
          <w:szCs w:val="40"/>
          <w:rtl/>
        </w:rPr>
        <w:t>،</w:t>
      </w:r>
      <w:r w:rsidRPr="00C406BC">
        <w:rPr>
          <w:rFonts w:ascii="Traditional Arabic" w:hAnsi="Traditional Arabic" w:cs="Traditional Arabic"/>
          <w:sz w:val="40"/>
          <w:szCs w:val="40"/>
          <w:rtl/>
        </w:rPr>
        <w:t xml:space="preserve"> وفعالية</w:t>
      </w:r>
      <w:r w:rsidR="008B089E" w:rsidRPr="00C406BC">
        <w:rPr>
          <w:rFonts w:ascii="Traditional Arabic" w:hAnsi="Traditional Arabic" w:cs="Traditional Arabic"/>
          <w:sz w:val="40"/>
          <w:szCs w:val="40"/>
          <w:rtl/>
        </w:rPr>
        <w:t>، وبشكل عام</w:t>
      </w:r>
      <w:r w:rsidRPr="00C406BC">
        <w:rPr>
          <w:rFonts w:ascii="Traditional Arabic" w:hAnsi="Traditional Arabic" w:cs="Traditional Arabic"/>
          <w:sz w:val="40"/>
          <w:szCs w:val="40"/>
          <w:rtl/>
        </w:rPr>
        <w:t xml:space="preserve"> تعتبر محكمة قانون الشركات خطوة هامة نحو تحديث النظام القضائي التجاري السعود</w:t>
      </w:r>
      <w:r w:rsidR="008B089E" w:rsidRPr="00C406BC">
        <w:rPr>
          <w:rFonts w:ascii="Traditional Arabic" w:hAnsi="Traditional Arabic" w:cs="Traditional Arabic"/>
          <w:sz w:val="40"/>
          <w:szCs w:val="40"/>
          <w:rtl/>
        </w:rPr>
        <w:t xml:space="preserve">ي من خلال إدخال هذه التعديلات، </w:t>
      </w:r>
      <w:r w:rsidRPr="00C406BC">
        <w:rPr>
          <w:rFonts w:ascii="Traditional Arabic" w:hAnsi="Traditional Arabic" w:cs="Traditional Arabic"/>
          <w:sz w:val="40"/>
          <w:szCs w:val="40"/>
          <w:rtl/>
        </w:rPr>
        <w:t>تضمن الحكومة السعودية توفير مسار أكثر وضوحًا</w:t>
      </w:r>
      <w:r w:rsidR="00DC73BA">
        <w:rPr>
          <w:rFonts w:ascii="Traditional Arabic" w:hAnsi="Traditional Arabic" w:cs="Traditional Arabic" w:hint="cs"/>
          <w:sz w:val="40"/>
          <w:szCs w:val="40"/>
          <w:rtl/>
        </w:rPr>
        <w:t>،</w:t>
      </w:r>
      <w:r w:rsidRPr="00C406BC">
        <w:rPr>
          <w:rFonts w:ascii="Traditional Arabic" w:hAnsi="Traditional Arabic" w:cs="Traditional Arabic"/>
          <w:sz w:val="40"/>
          <w:szCs w:val="40"/>
          <w:rtl/>
        </w:rPr>
        <w:t xml:space="preserve"> ويسرًا لشركات لتقديم مطالباتها</w:t>
      </w:r>
      <w:r w:rsidRPr="00C406BC">
        <w:rPr>
          <w:rFonts w:ascii="Traditional Arabic" w:hAnsi="Traditional Arabic" w:cs="Traditional Arabic"/>
          <w:sz w:val="40"/>
          <w:szCs w:val="40"/>
        </w:rPr>
        <w:t>.</w:t>
      </w:r>
    </w:p>
    <w:p w14:paraId="44B0518C" w14:textId="03CAFC0E" w:rsidR="008B089E" w:rsidRPr="00C406BC" w:rsidRDefault="008B089E" w:rsidP="00C406BC">
      <w:pPr>
        <w:spacing w:after="240" w:line="360" w:lineRule="auto"/>
        <w:ind w:firstLine="720"/>
        <w:rPr>
          <w:rFonts w:ascii="Traditional Arabic" w:hAnsi="Traditional Arabic" w:cs="Traditional Arabic"/>
          <w:sz w:val="40"/>
          <w:szCs w:val="40"/>
        </w:rPr>
      </w:pPr>
      <w:r w:rsidRPr="00C406BC">
        <w:rPr>
          <w:rFonts w:ascii="Traditional Arabic" w:hAnsi="Traditional Arabic" w:cs="Traditional Arabic"/>
          <w:sz w:val="40"/>
          <w:szCs w:val="40"/>
          <w:rtl/>
        </w:rPr>
        <w:lastRenderedPageBreak/>
        <w:t>تهدف هذه الدراسة إلى استكشاف مفهوم التقادم في نظام المحاكم التجارية السعودية، وتحليل تأثير هذا النظام على العدالة</w:t>
      </w:r>
      <w:r w:rsidR="00DC73BA">
        <w:rPr>
          <w:rFonts w:ascii="Traditional Arabic" w:hAnsi="Traditional Arabic" w:cs="Traditional Arabic" w:hint="cs"/>
          <w:sz w:val="40"/>
          <w:szCs w:val="40"/>
          <w:rtl/>
        </w:rPr>
        <w:t>،</w:t>
      </w:r>
      <w:r w:rsidRPr="00C406BC">
        <w:rPr>
          <w:rFonts w:ascii="Traditional Arabic" w:hAnsi="Traditional Arabic" w:cs="Traditional Arabic"/>
          <w:sz w:val="40"/>
          <w:szCs w:val="40"/>
          <w:rtl/>
        </w:rPr>
        <w:t xml:space="preserve"> والاقتصاد في المملكة</w:t>
      </w:r>
      <w:r w:rsidR="00DC73BA">
        <w:rPr>
          <w:rFonts w:ascii="Traditional Arabic" w:hAnsi="Traditional Arabic" w:cs="Traditional Arabic" w:hint="cs"/>
          <w:sz w:val="40"/>
          <w:szCs w:val="40"/>
          <w:rtl/>
        </w:rPr>
        <w:t>،</w:t>
      </w:r>
      <w:r w:rsidRPr="00C406BC">
        <w:rPr>
          <w:rFonts w:ascii="Traditional Arabic" w:hAnsi="Traditional Arabic" w:cs="Traditional Arabic"/>
          <w:sz w:val="40"/>
          <w:szCs w:val="40"/>
          <w:rtl/>
        </w:rPr>
        <w:t xml:space="preserve"> وسيتم ذلك من خلال استعراض الأسس القانونية</w:t>
      </w:r>
      <w:r w:rsidR="00DC73BA">
        <w:rPr>
          <w:rFonts w:ascii="Traditional Arabic" w:hAnsi="Traditional Arabic" w:cs="Traditional Arabic" w:hint="cs"/>
          <w:sz w:val="40"/>
          <w:szCs w:val="40"/>
          <w:rtl/>
        </w:rPr>
        <w:t>،</w:t>
      </w:r>
      <w:r w:rsidRPr="00C406BC">
        <w:rPr>
          <w:rFonts w:ascii="Traditional Arabic" w:hAnsi="Traditional Arabic" w:cs="Traditional Arabic"/>
          <w:sz w:val="40"/>
          <w:szCs w:val="40"/>
          <w:rtl/>
        </w:rPr>
        <w:t xml:space="preserve"> والتشريعات ذات الصلة، وتحليل القضايا القانونية</w:t>
      </w:r>
      <w:r w:rsidR="00DC73BA">
        <w:rPr>
          <w:rFonts w:ascii="Traditional Arabic" w:hAnsi="Traditional Arabic" w:cs="Traditional Arabic" w:hint="cs"/>
          <w:sz w:val="40"/>
          <w:szCs w:val="40"/>
          <w:rtl/>
        </w:rPr>
        <w:t>،</w:t>
      </w:r>
      <w:r w:rsidRPr="00C406BC">
        <w:rPr>
          <w:rFonts w:ascii="Traditional Arabic" w:hAnsi="Traditional Arabic" w:cs="Traditional Arabic"/>
          <w:sz w:val="40"/>
          <w:szCs w:val="40"/>
          <w:rtl/>
        </w:rPr>
        <w:t xml:space="preserve"> والتحديات التي تواجه تطبيق فترة التقادم في المحاكم التجارية</w:t>
      </w:r>
      <w:r w:rsidRPr="00C406BC">
        <w:rPr>
          <w:rFonts w:ascii="Traditional Arabic" w:hAnsi="Traditional Arabic" w:cs="Traditional Arabic"/>
          <w:sz w:val="40"/>
          <w:szCs w:val="40"/>
        </w:rPr>
        <w:t>.</w:t>
      </w:r>
    </w:p>
    <w:p w14:paraId="3B354033" w14:textId="1F4C64E8" w:rsidR="008B089E" w:rsidRPr="00C406BC" w:rsidRDefault="008B089E" w:rsidP="00C406BC">
      <w:pPr>
        <w:spacing w:after="240" w:line="360" w:lineRule="auto"/>
        <w:ind w:firstLine="720"/>
        <w:rPr>
          <w:rFonts w:ascii="Traditional Arabic" w:hAnsi="Traditional Arabic" w:cs="Traditional Arabic"/>
          <w:sz w:val="40"/>
          <w:szCs w:val="40"/>
        </w:rPr>
      </w:pPr>
      <w:r w:rsidRPr="00C406BC">
        <w:rPr>
          <w:rFonts w:ascii="Traditional Arabic" w:hAnsi="Traditional Arabic" w:cs="Traditional Arabic"/>
          <w:sz w:val="40"/>
          <w:szCs w:val="40"/>
          <w:rtl/>
        </w:rPr>
        <w:t>س</w:t>
      </w:r>
      <w:r w:rsidR="00DC73BA">
        <w:rPr>
          <w:rFonts w:ascii="Traditional Arabic" w:hAnsi="Traditional Arabic" w:cs="Traditional Arabic" w:hint="cs"/>
          <w:sz w:val="40"/>
          <w:szCs w:val="40"/>
          <w:rtl/>
        </w:rPr>
        <w:t>وف يقوم الباحث</w:t>
      </w:r>
      <w:r w:rsidRPr="00C406BC">
        <w:rPr>
          <w:rFonts w:ascii="Traditional Arabic" w:hAnsi="Traditional Arabic" w:cs="Traditional Arabic"/>
          <w:sz w:val="40"/>
          <w:szCs w:val="40"/>
          <w:rtl/>
        </w:rPr>
        <w:t xml:space="preserve"> </w:t>
      </w:r>
      <w:r w:rsidR="00DC73BA">
        <w:rPr>
          <w:rFonts w:ascii="Traditional Arabic" w:hAnsi="Traditional Arabic" w:cs="Traditional Arabic" w:hint="cs"/>
          <w:sz w:val="40"/>
          <w:szCs w:val="40"/>
          <w:rtl/>
        </w:rPr>
        <w:t>ب</w:t>
      </w:r>
      <w:r w:rsidRPr="00C406BC">
        <w:rPr>
          <w:rFonts w:ascii="Traditional Arabic" w:hAnsi="Traditional Arabic" w:cs="Traditional Arabic"/>
          <w:sz w:val="40"/>
          <w:szCs w:val="40"/>
          <w:rtl/>
        </w:rPr>
        <w:t>تقسيم هذا البحث إلى عدة مباحث رئيسية</w:t>
      </w:r>
      <w:r w:rsidR="00DC73BA">
        <w:rPr>
          <w:rFonts w:ascii="Traditional Arabic" w:hAnsi="Traditional Arabic" w:cs="Traditional Arabic" w:hint="cs"/>
          <w:sz w:val="40"/>
          <w:szCs w:val="40"/>
          <w:rtl/>
        </w:rPr>
        <w:t>؛</w:t>
      </w:r>
      <w:r w:rsidRPr="00C406BC">
        <w:rPr>
          <w:rFonts w:ascii="Traditional Arabic" w:hAnsi="Traditional Arabic" w:cs="Traditional Arabic"/>
          <w:sz w:val="40"/>
          <w:szCs w:val="40"/>
          <w:rtl/>
        </w:rPr>
        <w:t xml:space="preserve"> حيث </w:t>
      </w:r>
      <w:r w:rsidR="00DC73BA">
        <w:rPr>
          <w:rFonts w:ascii="Traditional Arabic" w:hAnsi="Traditional Arabic" w:cs="Traditional Arabic" w:hint="cs"/>
          <w:sz w:val="40"/>
          <w:szCs w:val="40"/>
          <w:rtl/>
        </w:rPr>
        <w:t xml:space="preserve">سيناقش </w:t>
      </w:r>
      <w:r w:rsidRPr="00C406BC">
        <w:rPr>
          <w:rFonts w:ascii="Traditional Arabic" w:hAnsi="Traditional Arabic" w:cs="Traditional Arabic"/>
          <w:sz w:val="40"/>
          <w:szCs w:val="40"/>
          <w:rtl/>
        </w:rPr>
        <w:t>مفهوم التقادم</w:t>
      </w:r>
      <w:r w:rsidR="00DC73BA">
        <w:rPr>
          <w:rFonts w:ascii="Traditional Arabic" w:hAnsi="Traditional Arabic" w:cs="Traditional Arabic" w:hint="cs"/>
          <w:sz w:val="40"/>
          <w:szCs w:val="40"/>
          <w:rtl/>
        </w:rPr>
        <w:t>،</w:t>
      </w:r>
      <w:r w:rsidRPr="00C406BC">
        <w:rPr>
          <w:rFonts w:ascii="Traditional Arabic" w:hAnsi="Traditional Arabic" w:cs="Traditional Arabic"/>
          <w:sz w:val="40"/>
          <w:szCs w:val="40"/>
          <w:rtl/>
        </w:rPr>
        <w:t xml:space="preserve"> وأنواعه، ودور النظام العام في فرض التقادم، بالإضافة إلى تحليل الأسس الشرعية</w:t>
      </w:r>
      <w:r w:rsidR="00DC73BA">
        <w:rPr>
          <w:rFonts w:ascii="Traditional Arabic" w:hAnsi="Traditional Arabic" w:cs="Traditional Arabic" w:hint="cs"/>
          <w:sz w:val="40"/>
          <w:szCs w:val="40"/>
          <w:rtl/>
        </w:rPr>
        <w:t>،</w:t>
      </w:r>
      <w:r w:rsidRPr="00C406BC">
        <w:rPr>
          <w:rFonts w:ascii="Traditional Arabic" w:hAnsi="Traditional Arabic" w:cs="Traditional Arabic"/>
          <w:sz w:val="40"/>
          <w:szCs w:val="40"/>
          <w:rtl/>
        </w:rPr>
        <w:t xml:space="preserve"> والقانونية لفترة التقادم في المحاكم التجارية السعودية</w:t>
      </w:r>
      <w:r w:rsidR="00DC73BA">
        <w:rPr>
          <w:rFonts w:ascii="Traditional Arabic" w:hAnsi="Traditional Arabic" w:cs="Traditional Arabic" w:hint="cs"/>
          <w:sz w:val="40"/>
          <w:szCs w:val="40"/>
          <w:rtl/>
        </w:rPr>
        <w:t xml:space="preserve">، </w:t>
      </w:r>
      <w:r w:rsidRPr="00C406BC">
        <w:rPr>
          <w:rFonts w:ascii="Traditional Arabic" w:hAnsi="Traditional Arabic" w:cs="Traditional Arabic"/>
          <w:sz w:val="40"/>
          <w:szCs w:val="40"/>
          <w:rtl/>
        </w:rPr>
        <w:t>كما سي</w:t>
      </w:r>
      <w:r w:rsidR="00DC73BA">
        <w:rPr>
          <w:rFonts w:ascii="Traditional Arabic" w:hAnsi="Traditional Arabic" w:cs="Traditional Arabic" w:hint="cs"/>
          <w:sz w:val="40"/>
          <w:szCs w:val="40"/>
          <w:rtl/>
        </w:rPr>
        <w:t>ستعرض</w:t>
      </w:r>
      <w:r w:rsidRPr="00C406BC">
        <w:rPr>
          <w:rFonts w:ascii="Traditional Arabic" w:hAnsi="Traditional Arabic" w:cs="Traditional Arabic"/>
          <w:sz w:val="40"/>
          <w:szCs w:val="40"/>
          <w:rtl/>
        </w:rPr>
        <w:t xml:space="preserve"> التحديثات الأخيرة التي أدخلتها السلطات القضائية في هذا النظام، وتحليل تأثيرها على بيئة الأعمال</w:t>
      </w:r>
      <w:r w:rsidR="00DC73BA">
        <w:rPr>
          <w:rFonts w:ascii="Traditional Arabic" w:hAnsi="Traditional Arabic" w:cs="Traditional Arabic" w:hint="cs"/>
          <w:sz w:val="40"/>
          <w:szCs w:val="40"/>
          <w:rtl/>
        </w:rPr>
        <w:t>،</w:t>
      </w:r>
      <w:r w:rsidRPr="00C406BC">
        <w:rPr>
          <w:rFonts w:ascii="Traditional Arabic" w:hAnsi="Traditional Arabic" w:cs="Traditional Arabic"/>
          <w:sz w:val="40"/>
          <w:szCs w:val="40"/>
          <w:rtl/>
        </w:rPr>
        <w:t xml:space="preserve"> والعدالة في المملكة</w:t>
      </w:r>
      <w:r w:rsidRPr="00C406BC">
        <w:rPr>
          <w:rFonts w:ascii="Traditional Arabic" w:hAnsi="Traditional Arabic" w:cs="Traditional Arabic"/>
          <w:sz w:val="40"/>
          <w:szCs w:val="40"/>
        </w:rPr>
        <w:t>.</w:t>
      </w:r>
    </w:p>
    <w:p w14:paraId="19E8540A" w14:textId="798A1498" w:rsidR="00286DB0" w:rsidRPr="00C406BC" w:rsidRDefault="00DC73BA" w:rsidP="00C406BC">
      <w:pPr>
        <w:spacing w:after="240" w:line="360" w:lineRule="auto"/>
        <w:ind w:firstLine="720"/>
        <w:rPr>
          <w:rFonts w:ascii="Traditional Arabic" w:hAnsi="Traditional Arabic" w:cs="Traditional Arabic"/>
          <w:sz w:val="40"/>
          <w:szCs w:val="40"/>
          <w:rtl/>
        </w:rPr>
      </w:pPr>
      <w:r>
        <w:rPr>
          <w:rFonts w:ascii="Traditional Arabic" w:hAnsi="Traditional Arabic" w:cs="Traditional Arabic" w:hint="cs"/>
          <w:sz w:val="40"/>
          <w:szCs w:val="40"/>
          <w:rtl/>
        </w:rPr>
        <w:t>يخطط الدارس من خلال</w:t>
      </w:r>
      <w:r w:rsidR="008B089E" w:rsidRPr="00C406BC">
        <w:rPr>
          <w:rFonts w:ascii="Traditional Arabic" w:hAnsi="Traditional Arabic" w:cs="Traditional Arabic"/>
          <w:sz w:val="40"/>
          <w:szCs w:val="40"/>
          <w:rtl/>
        </w:rPr>
        <w:t xml:space="preserve"> هذه الدراسة </w:t>
      </w:r>
      <w:r>
        <w:rPr>
          <w:rFonts w:ascii="Traditional Arabic" w:hAnsi="Traditional Arabic" w:cs="Traditional Arabic" w:hint="cs"/>
          <w:sz w:val="40"/>
          <w:szCs w:val="40"/>
          <w:rtl/>
        </w:rPr>
        <w:t>إلى</w:t>
      </w:r>
      <w:r w:rsidR="008B089E" w:rsidRPr="00C406BC">
        <w:rPr>
          <w:rFonts w:ascii="Traditional Arabic" w:hAnsi="Traditional Arabic" w:cs="Traditional Arabic"/>
          <w:sz w:val="40"/>
          <w:szCs w:val="40"/>
          <w:rtl/>
        </w:rPr>
        <w:t xml:space="preserve"> </w:t>
      </w:r>
      <w:r>
        <w:rPr>
          <w:rFonts w:ascii="Traditional Arabic" w:hAnsi="Traditional Arabic" w:cs="Traditional Arabic" w:hint="cs"/>
          <w:sz w:val="40"/>
          <w:szCs w:val="40"/>
          <w:rtl/>
        </w:rPr>
        <w:t>التنوير</w:t>
      </w:r>
      <w:r w:rsidR="008B089E" w:rsidRPr="00C406BC">
        <w:rPr>
          <w:rFonts w:ascii="Traditional Arabic" w:hAnsi="Traditional Arabic" w:cs="Traditional Arabic"/>
          <w:sz w:val="40"/>
          <w:szCs w:val="40"/>
          <w:rtl/>
        </w:rPr>
        <w:t xml:space="preserve"> </w:t>
      </w:r>
      <w:r>
        <w:rPr>
          <w:rFonts w:ascii="Traditional Arabic" w:hAnsi="Traditional Arabic" w:cs="Traditional Arabic" w:hint="cs"/>
          <w:sz w:val="40"/>
          <w:szCs w:val="40"/>
          <w:rtl/>
        </w:rPr>
        <w:t>ب</w:t>
      </w:r>
      <w:r w:rsidR="008B089E" w:rsidRPr="00C406BC">
        <w:rPr>
          <w:rFonts w:ascii="Traditional Arabic" w:hAnsi="Traditional Arabic" w:cs="Traditional Arabic"/>
          <w:sz w:val="40"/>
          <w:szCs w:val="40"/>
          <w:rtl/>
        </w:rPr>
        <w:t>أهمية التقادم في نظام المحاكم التجارية السعودية،</w:t>
      </w:r>
      <w:r>
        <w:rPr>
          <w:rFonts w:ascii="Traditional Arabic" w:hAnsi="Traditional Arabic" w:cs="Traditional Arabic" w:hint="cs"/>
          <w:sz w:val="40"/>
          <w:szCs w:val="40"/>
          <w:rtl/>
        </w:rPr>
        <w:t xml:space="preserve"> وتأثيره،</w:t>
      </w:r>
      <w:r w:rsidR="008B089E" w:rsidRPr="00C406BC">
        <w:rPr>
          <w:rFonts w:ascii="Traditional Arabic" w:hAnsi="Traditional Arabic" w:cs="Traditional Arabic"/>
          <w:sz w:val="40"/>
          <w:szCs w:val="40"/>
          <w:rtl/>
        </w:rPr>
        <w:t xml:space="preserve"> وتقديم توصيات تساهم في تعزيز فاعلية هذا النظام</w:t>
      </w:r>
      <w:r>
        <w:rPr>
          <w:rFonts w:ascii="Traditional Arabic" w:hAnsi="Traditional Arabic" w:cs="Traditional Arabic" w:hint="cs"/>
          <w:sz w:val="40"/>
          <w:szCs w:val="40"/>
          <w:rtl/>
        </w:rPr>
        <w:t>،</w:t>
      </w:r>
      <w:r w:rsidR="008B089E" w:rsidRPr="00C406BC">
        <w:rPr>
          <w:rFonts w:ascii="Traditional Arabic" w:hAnsi="Traditional Arabic" w:cs="Traditional Arabic"/>
          <w:sz w:val="40"/>
          <w:szCs w:val="40"/>
          <w:rtl/>
        </w:rPr>
        <w:t xml:space="preserve"> وتحقيق العدالة</w:t>
      </w:r>
      <w:r>
        <w:rPr>
          <w:rFonts w:ascii="Traditional Arabic" w:hAnsi="Traditional Arabic" w:cs="Traditional Arabic" w:hint="cs"/>
          <w:sz w:val="40"/>
          <w:szCs w:val="40"/>
          <w:rtl/>
        </w:rPr>
        <w:t>،</w:t>
      </w:r>
      <w:r w:rsidR="008B089E" w:rsidRPr="00C406BC">
        <w:rPr>
          <w:rFonts w:ascii="Traditional Arabic" w:hAnsi="Traditional Arabic" w:cs="Traditional Arabic"/>
          <w:sz w:val="40"/>
          <w:szCs w:val="40"/>
          <w:rtl/>
        </w:rPr>
        <w:t xml:space="preserve"> والتوازن في بيئة الأعمال</w:t>
      </w:r>
      <w:r w:rsidR="008B089E" w:rsidRPr="00C406BC">
        <w:rPr>
          <w:rFonts w:ascii="Traditional Arabic" w:hAnsi="Traditional Arabic" w:cs="Traditional Arabic"/>
          <w:sz w:val="40"/>
          <w:szCs w:val="40"/>
        </w:rPr>
        <w:t>.</w:t>
      </w:r>
    </w:p>
    <w:p w14:paraId="00ECBB4F" w14:textId="77777777" w:rsidR="00286DB0" w:rsidRPr="00C406BC" w:rsidRDefault="00286DB0" w:rsidP="00C406BC">
      <w:pPr>
        <w:spacing w:after="240" w:line="360" w:lineRule="auto"/>
        <w:ind w:firstLine="720"/>
        <w:rPr>
          <w:rFonts w:ascii="Traditional Arabic" w:hAnsi="Traditional Arabic" w:cs="Traditional Arabic"/>
          <w:sz w:val="40"/>
          <w:szCs w:val="40"/>
        </w:rPr>
      </w:pPr>
    </w:p>
    <w:p w14:paraId="681241EA" w14:textId="3FC6B09B" w:rsidR="005261EC" w:rsidRPr="00C406BC" w:rsidRDefault="005261EC" w:rsidP="00C406BC">
      <w:pPr>
        <w:spacing w:after="240" w:line="360" w:lineRule="auto"/>
        <w:rPr>
          <w:rFonts w:ascii="Traditional Arabic" w:hAnsi="Traditional Arabic" w:cs="Traditional Arabic"/>
          <w:sz w:val="40"/>
          <w:szCs w:val="40"/>
          <w:rtl/>
        </w:rPr>
      </w:pPr>
      <w:bookmarkStart w:id="1" w:name="_Toc168891637"/>
      <w:r w:rsidRPr="00C406BC">
        <w:rPr>
          <w:rStyle w:val="1Char"/>
          <w:rFonts w:ascii="Traditional Arabic" w:hAnsi="Traditional Arabic" w:cs="Traditional Arabic"/>
          <w:b/>
          <w:bCs/>
          <w:color w:val="auto"/>
          <w:sz w:val="40"/>
          <w:szCs w:val="40"/>
          <w:rtl/>
        </w:rPr>
        <w:lastRenderedPageBreak/>
        <w:t xml:space="preserve">أهمية </w:t>
      </w:r>
      <w:bookmarkEnd w:id="1"/>
      <w:r w:rsidR="00773552" w:rsidRPr="00C406BC">
        <w:rPr>
          <w:rStyle w:val="1Char"/>
          <w:rFonts w:ascii="Traditional Arabic" w:hAnsi="Traditional Arabic" w:cs="Traditional Arabic" w:hint="cs"/>
          <w:b/>
          <w:bCs/>
          <w:color w:val="auto"/>
          <w:sz w:val="40"/>
          <w:szCs w:val="40"/>
          <w:rtl/>
        </w:rPr>
        <w:t>الموضوع</w:t>
      </w:r>
      <w:r w:rsidR="00773552" w:rsidRPr="00C406BC">
        <w:rPr>
          <w:rFonts w:ascii="Traditional Arabic" w:hAnsi="Traditional Arabic" w:cs="Traditional Arabic" w:hint="cs"/>
          <w:sz w:val="40"/>
          <w:szCs w:val="40"/>
          <w:rtl/>
        </w:rPr>
        <w:t>:</w:t>
      </w:r>
    </w:p>
    <w:p w14:paraId="1F779377" w14:textId="77777777" w:rsidR="005261EC" w:rsidRPr="00C406BC" w:rsidRDefault="005261EC" w:rsidP="00C406BC">
      <w:pPr>
        <w:spacing w:after="240" w:line="360" w:lineRule="auto"/>
        <w:ind w:firstLine="720"/>
        <w:rPr>
          <w:rFonts w:ascii="Traditional Arabic" w:hAnsi="Traditional Arabic" w:cs="Traditional Arabic"/>
          <w:sz w:val="40"/>
          <w:szCs w:val="40"/>
          <w:rtl/>
        </w:rPr>
      </w:pPr>
      <w:r w:rsidRPr="00C406BC">
        <w:rPr>
          <w:rFonts w:ascii="Traditional Arabic" w:hAnsi="Traditional Arabic" w:cs="Traditional Arabic"/>
          <w:sz w:val="40"/>
          <w:szCs w:val="40"/>
          <w:rtl/>
        </w:rPr>
        <w:t>تتمثل أهمية الموضوع في الآتي:</w:t>
      </w:r>
    </w:p>
    <w:p w14:paraId="42EFCB78" w14:textId="5BCFC2BB" w:rsidR="00950D2F" w:rsidRPr="00C406BC" w:rsidRDefault="00954321" w:rsidP="00954321">
      <w:pPr>
        <w:spacing w:after="240" w:line="360" w:lineRule="auto"/>
        <w:ind w:left="720"/>
        <w:rPr>
          <w:rFonts w:ascii="Traditional Arabic" w:hAnsi="Traditional Arabic" w:cs="Traditional Arabic"/>
          <w:sz w:val="40"/>
          <w:szCs w:val="40"/>
        </w:rPr>
      </w:pPr>
      <w:r>
        <w:rPr>
          <w:rFonts w:ascii="Traditional Arabic" w:hAnsi="Traditional Arabic" w:cs="Traditional Arabic" w:hint="cs"/>
          <w:sz w:val="40"/>
          <w:szCs w:val="40"/>
          <w:rtl/>
        </w:rPr>
        <w:t>1-</w:t>
      </w:r>
      <w:r w:rsidR="00950D2F" w:rsidRPr="00C406BC">
        <w:rPr>
          <w:rFonts w:ascii="Traditional Arabic" w:hAnsi="Traditional Arabic" w:cs="Traditional Arabic"/>
          <w:sz w:val="40"/>
          <w:szCs w:val="40"/>
          <w:rtl/>
        </w:rPr>
        <w:t>تحسين فهم العدالة التجارية:</w:t>
      </w:r>
      <w:r>
        <w:rPr>
          <w:rFonts w:ascii="Traditional Arabic" w:hAnsi="Traditional Arabic" w:cs="Traditional Arabic" w:hint="cs"/>
          <w:sz w:val="40"/>
          <w:szCs w:val="40"/>
          <w:rtl/>
        </w:rPr>
        <w:t xml:space="preserve"> وذلك من خلال</w:t>
      </w:r>
      <w:r w:rsidR="00950D2F" w:rsidRPr="00C406BC">
        <w:rPr>
          <w:rFonts w:ascii="Traditional Arabic" w:hAnsi="Traditional Arabic" w:cs="Traditional Arabic"/>
          <w:sz w:val="40"/>
          <w:szCs w:val="40"/>
          <w:rtl/>
        </w:rPr>
        <w:t xml:space="preserve"> دراسة التقادم في نظام المحاكم التجارية السعودية</w:t>
      </w:r>
      <w:r>
        <w:rPr>
          <w:rFonts w:ascii="Traditional Arabic" w:hAnsi="Traditional Arabic" w:cs="Traditional Arabic" w:hint="cs"/>
          <w:sz w:val="40"/>
          <w:szCs w:val="40"/>
          <w:rtl/>
        </w:rPr>
        <w:t>؛ حيث</w:t>
      </w:r>
      <w:r w:rsidR="00950D2F" w:rsidRPr="00C406BC">
        <w:rPr>
          <w:rFonts w:ascii="Traditional Arabic" w:hAnsi="Traditional Arabic" w:cs="Traditional Arabic"/>
          <w:sz w:val="40"/>
          <w:szCs w:val="40"/>
          <w:rtl/>
        </w:rPr>
        <w:t xml:space="preserve"> </w:t>
      </w:r>
      <w:r>
        <w:rPr>
          <w:rFonts w:ascii="Traditional Arabic" w:hAnsi="Traditional Arabic" w:cs="Traditional Arabic" w:hint="cs"/>
          <w:sz w:val="40"/>
          <w:szCs w:val="40"/>
          <w:rtl/>
        </w:rPr>
        <w:t>س</w:t>
      </w:r>
      <w:r w:rsidR="00950D2F" w:rsidRPr="00C406BC">
        <w:rPr>
          <w:rFonts w:ascii="Traditional Arabic" w:hAnsi="Traditional Arabic" w:cs="Traditional Arabic"/>
          <w:sz w:val="40"/>
          <w:szCs w:val="40"/>
          <w:rtl/>
        </w:rPr>
        <w:t xml:space="preserve">تساهم في تعزيز </w:t>
      </w:r>
      <w:r>
        <w:rPr>
          <w:rFonts w:ascii="Traditional Arabic" w:hAnsi="Traditional Arabic" w:cs="Traditional Arabic" w:hint="cs"/>
          <w:sz w:val="40"/>
          <w:szCs w:val="40"/>
          <w:rtl/>
        </w:rPr>
        <w:t>الفهم</w:t>
      </w:r>
      <w:r w:rsidR="00950D2F" w:rsidRPr="00C406BC">
        <w:rPr>
          <w:rFonts w:ascii="Traditional Arabic" w:hAnsi="Traditional Arabic" w:cs="Traditional Arabic"/>
          <w:sz w:val="40"/>
          <w:szCs w:val="40"/>
          <w:rtl/>
        </w:rPr>
        <w:t xml:space="preserve"> لكيفية تطبيق العدالة في القضايا التجارية، وتسليط الضوء على التحديات</w:t>
      </w:r>
      <w:r>
        <w:rPr>
          <w:rFonts w:ascii="Traditional Arabic" w:hAnsi="Traditional Arabic" w:cs="Traditional Arabic" w:hint="cs"/>
          <w:sz w:val="40"/>
          <w:szCs w:val="40"/>
          <w:rtl/>
        </w:rPr>
        <w:t>،</w:t>
      </w:r>
      <w:r w:rsidR="00950D2F" w:rsidRPr="00C406BC">
        <w:rPr>
          <w:rFonts w:ascii="Traditional Arabic" w:hAnsi="Traditional Arabic" w:cs="Traditional Arabic"/>
          <w:sz w:val="40"/>
          <w:szCs w:val="40"/>
          <w:rtl/>
        </w:rPr>
        <w:t xml:space="preserve"> والمسائل القانونية ذات الصلة</w:t>
      </w:r>
      <w:r w:rsidR="00950D2F" w:rsidRPr="00C406BC">
        <w:rPr>
          <w:rFonts w:ascii="Traditional Arabic" w:hAnsi="Traditional Arabic" w:cs="Traditional Arabic"/>
          <w:sz w:val="40"/>
          <w:szCs w:val="40"/>
        </w:rPr>
        <w:t>.</w:t>
      </w:r>
    </w:p>
    <w:p w14:paraId="045D8B25" w14:textId="61AF63E7" w:rsidR="00950D2F" w:rsidRPr="00C406BC" w:rsidRDefault="00954321" w:rsidP="00954321">
      <w:pPr>
        <w:spacing w:after="240" w:line="360" w:lineRule="auto"/>
        <w:ind w:left="720"/>
        <w:rPr>
          <w:rFonts w:ascii="Traditional Arabic" w:hAnsi="Traditional Arabic" w:cs="Traditional Arabic"/>
          <w:sz w:val="40"/>
          <w:szCs w:val="40"/>
        </w:rPr>
      </w:pPr>
      <w:r>
        <w:rPr>
          <w:rFonts w:ascii="Traditional Arabic" w:hAnsi="Traditional Arabic" w:cs="Traditional Arabic" w:hint="cs"/>
          <w:sz w:val="40"/>
          <w:szCs w:val="40"/>
          <w:rtl/>
        </w:rPr>
        <w:t>2-</w:t>
      </w:r>
      <w:r w:rsidR="00950D2F" w:rsidRPr="00C406BC">
        <w:rPr>
          <w:rFonts w:ascii="Traditional Arabic" w:hAnsi="Traditional Arabic" w:cs="Traditional Arabic"/>
          <w:sz w:val="40"/>
          <w:szCs w:val="40"/>
          <w:rtl/>
        </w:rPr>
        <w:t xml:space="preserve">تعزيز الثقة في النظام القضائي: </w:t>
      </w:r>
      <w:r>
        <w:rPr>
          <w:rFonts w:ascii="Traditional Arabic" w:hAnsi="Traditional Arabic" w:cs="Traditional Arabic" w:hint="cs"/>
          <w:sz w:val="40"/>
          <w:szCs w:val="40"/>
          <w:rtl/>
        </w:rPr>
        <w:t>وذلك أن معرفة</w:t>
      </w:r>
      <w:r w:rsidR="00950D2F" w:rsidRPr="00C406BC">
        <w:rPr>
          <w:rFonts w:ascii="Traditional Arabic" w:hAnsi="Traditional Arabic" w:cs="Traditional Arabic"/>
          <w:sz w:val="40"/>
          <w:szCs w:val="40"/>
          <w:rtl/>
        </w:rPr>
        <w:t xml:space="preserve"> أنواع التقادم</w:t>
      </w:r>
      <w:r>
        <w:rPr>
          <w:rFonts w:ascii="Traditional Arabic" w:hAnsi="Traditional Arabic" w:cs="Traditional Arabic" w:hint="cs"/>
          <w:sz w:val="40"/>
          <w:szCs w:val="40"/>
          <w:rtl/>
        </w:rPr>
        <w:t>،</w:t>
      </w:r>
      <w:r w:rsidR="00950D2F" w:rsidRPr="00C406BC">
        <w:rPr>
          <w:rFonts w:ascii="Traditional Arabic" w:hAnsi="Traditional Arabic" w:cs="Traditional Arabic"/>
          <w:sz w:val="40"/>
          <w:szCs w:val="40"/>
          <w:rtl/>
        </w:rPr>
        <w:t xml:space="preserve"> وتأثير</w:t>
      </w:r>
      <w:r>
        <w:rPr>
          <w:rFonts w:ascii="Traditional Arabic" w:hAnsi="Traditional Arabic" w:cs="Traditional Arabic" w:hint="cs"/>
          <w:sz w:val="40"/>
          <w:szCs w:val="40"/>
          <w:rtl/>
        </w:rPr>
        <w:t xml:space="preserve">ها </w:t>
      </w:r>
      <w:r w:rsidR="00950D2F" w:rsidRPr="00C406BC">
        <w:rPr>
          <w:rFonts w:ascii="Traditional Arabic" w:hAnsi="Traditional Arabic" w:cs="Traditional Arabic"/>
          <w:sz w:val="40"/>
          <w:szCs w:val="40"/>
          <w:rtl/>
        </w:rPr>
        <w:t>على سير العدالة يمكن أن يعزز الثقة في النظام القضائي</w:t>
      </w:r>
      <w:r>
        <w:rPr>
          <w:rFonts w:ascii="Traditional Arabic" w:hAnsi="Traditional Arabic" w:cs="Traditional Arabic" w:hint="cs"/>
          <w:sz w:val="40"/>
          <w:szCs w:val="40"/>
          <w:rtl/>
        </w:rPr>
        <w:t>،</w:t>
      </w:r>
      <w:r w:rsidR="00950D2F" w:rsidRPr="00C406BC">
        <w:rPr>
          <w:rFonts w:ascii="Traditional Arabic" w:hAnsi="Traditional Arabic" w:cs="Traditional Arabic"/>
          <w:sz w:val="40"/>
          <w:szCs w:val="40"/>
          <w:rtl/>
        </w:rPr>
        <w:t xml:space="preserve"> ويساهم في تحسينه</w:t>
      </w:r>
      <w:r>
        <w:rPr>
          <w:rFonts w:ascii="Traditional Arabic" w:hAnsi="Traditional Arabic" w:cs="Traditional Arabic" w:hint="cs"/>
          <w:sz w:val="40"/>
          <w:szCs w:val="40"/>
          <w:rtl/>
        </w:rPr>
        <w:t>؛</w:t>
      </w:r>
      <w:r w:rsidR="00950D2F" w:rsidRPr="00C406BC">
        <w:rPr>
          <w:rFonts w:ascii="Traditional Arabic" w:hAnsi="Traditional Arabic" w:cs="Traditional Arabic"/>
          <w:sz w:val="40"/>
          <w:szCs w:val="40"/>
          <w:rtl/>
        </w:rPr>
        <w:t xml:space="preserve"> حيث يشعر بأن العدالة تتم بشكل عادل وفقًا لل</w:t>
      </w:r>
      <w:r>
        <w:rPr>
          <w:rFonts w:ascii="Traditional Arabic" w:hAnsi="Traditional Arabic" w:cs="Traditional Arabic" w:hint="cs"/>
          <w:sz w:val="40"/>
          <w:szCs w:val="40"/>
          <w:rtl/>
        </w:rPr>
        <w:t>نظم</w:t>
      </w:r>
      <w:r w:rsidR="00950D2F" w:rsidRPr="00C406BC">
        <w:rPr>
          <w:rFonts w:ascii="Traditional Arabic" w:hAnsi="Traditional Arabic" w:cs="Traditional Arabic"/>
          <w:sz w:val="40"/>
          <w:szCs w:val="40"/>
          <w:rtl/>
        </w:rPr>
        <w:t xml:space="preserve"> المعمول بها</w:t>
      </w:r>
      <w:r w:rsidR="00950D2F" w:rsidRPr="00C406BC">
        <w:rPr>
          <w:rFonts w:ascii="Traditional Arabic" w:hAnsi="Traditional Arabic" w:cs="Traditional Arabic"/>
          <w:sz w:val="40"/>
          <w:szCs w:val="40"/>
        </w:rPr>
        <w:t>.</w:t>
      </w:r>
    </w:p>
    <w:p w14:paraId="44FCF047" w14:textId="4B9347B7" w:rsidR="00286DB0" w:rsidRPr="00C406BC" w:rsidRDefault="001306FC" w:rsidP="001306FC">
      <w:pPr>
        <w:spacing w:after="240" w:line="360" w:lineRule="auto"/>
        <w:ind w:left="360"/>
        <w:rPr>
          <w:rFonts w:ascii="Traditional Arabic" w:hAnsi="Traditional Arabic" w:cs="Traditional Arabic"/>
          <w:sz w:val="40"/>
          <w:szCs w:val="40"/>
        </w:rPr>
      </w:pPr>
      <w:r>
        <w:rPr>
          <w:rFonts w:ascii="Traditional Arabic" w:hAnsi="Traditional Arabic" w:cs="Traditional Arabic" w:hint="cs"/>
          <w:sz w:val="40"/>
          <w:szCs w:val="40"/>
          <w:rtl/>
        </w:rPr>
        <w:t>3-</w:t>
      </w:r>
      <w:r w:rsidR="00950D2F" w:rsidRPr="00C406BC">
        <w:rPr>
          <w:rFonts w:ascii="Traditional Arabic" w:hAnsi="Traditional Arabic" w:cs="Traditional Arabic"/>
          <w:sz w:val="40"/>
          <w:szCs w:val="40"/>
          <w:rtl/>
        </w:rPr>
        <w:t>تحسين بيئة الأعمال:</w:t>
      </w:r>
      <w:r>
        <w:rPr>
          <w:rFonts w:ascii="Traditional Arabic" w:hAnsi="Traditional Arabic" w:cs="Traditional Arabic" w:hint="cs"/>
          <w:sz w:val="40"/>
          <w:szCs w:val="40"/>
          <w:rtl/>
        </w:rPr>
        <w:t xml:space="preserve"> وذلك من خلال استجلاء</w:t>
      </w:r>
      <w:r w:rsidR="00950D2F" w:rsidRPr="00C406BC">
        <w:rPr>
          <w:rFonts w:ascii="Traditional Arabic" w:hAnsi="Traditional Arabic" w:cs="Traditional Arabic"/>
          <w:sz w:val="40"/>
          <w:szCs w:val="40"/>
          <w:rtl/>
        </w:rPr>
        <w:t xml:space="preserve"> التقادم في القضايا التجارية</w:t>
      </w:r>
      <w:r>
        <w:rPr>
          <w:rFonts w:ascii="Traditional Arabic" w:hAnsi="Traditional Arabic" w:cs="Traditional Arabic" w:hint="cs"/>
          <w:sz w:val="40"/>
          <w:szCs w:val="40"/>
          <w:rtl/>
        </w:rPr>
        <w:t xml:space="preserve">؛ </w:t>
      </w:r>
      <w:r w:rsidR="00773552">
        <w:rPr>
          <w:rFonts w:ascii="Traditional Arabic" w:hAnsi="Traditional Arabic" w:cs="Traditional Arabic" w:hint="cs"/>
          <w:sz w:val="40"/>
          <w:szCs w:val="40"/>
          <w:rtl/>
        </w:rPr>
        <w:t xml:space="preserve">حيث </w:t>
      </w:r>
      <w:r w:rsidR="00773552" w:rsidRPr="00C406BC">
        <w:rPr>
          <w:rFonts w:ascii="Traditional Arabic" w:hAnsi="Traditional Arabic" w:cs="Traditional Arabic" w:hint="cs"/>
          <w:sz w:val="40"/>
          <w:szCs w:val="40"/>
          <w:rtl/>
        </w:rPr>
        <w:t>يمكن</w:t>
      </w:r>
      <w:r w:rsidR="00950D2F" w:rsidRPr="00C406BC">
        <w:rPr>
          <w:rFonts w:ascii="Traditional Arabic" w:hAnsi="Traditional Arabic" w:cs="Traditional Arabic"/>
          <w:sz w:val="40"/>
          <w:szCs w:val="40"/>
          <w:rtl/>
        </w:rPr>
        <w:t xml:space="preserve"> أن يساهم</w:t>
      </w:r>
      <w:r>
        <w:rPr>
          <w:rFonts w:ascii="Traditional Arabic" w:hAnsi="Traditional Arabic" w:cs="Traditional Arabic" w:hint="cs"/>
          <w:sz w:val="40"/>
          <w:szCs w:val="40"/>
          <w:rtl/>
        </w:rPr>
        <w:t xml:space="preserve"> ذلك</w:t>
      </w:r>
      <w:r w:rsidR="00950D2F" w:rsidRPr="00C406BC">
        <w:rPr>
          <w:rFonts w:ascii="Traditional Arabic" w:hAnsi="Traditional Arabic" w:cs="Traditional Arabic"/>
          <w:sz w:val="40"/>
          <w:szCs w:val="40"/>
          <w:rtl/>
        </w:rPr>
        <w:t xml:space="preserve"> في توفير بيئة قانونية مستقرة</w:t>
      </w:r>
      <w:r>
        <w:rPr>
          <w:rFonts w:ascii="Traditional Arabic" w:hAnsi="Traditional Arabic" w:cs="Traditional Arabic" w:hint="cs"/>
          <w:sz w:val="40"/>
          <w:szCs w:val="40"/>
          <w:rtl/>
        </w:rPr>
        <w:t>،</w:t>
      </w:r>
      <w:r w:rsidR="00950D2F" w:rsidRPr="00C406BC">
        <w:rPr>
          <w:rFonts w:ascii="Traditional Arabic" w:hAnsi="Traditional Arabic" w:cs="Traditional Arabic"/>
          <w:sz w:val="40"/>
          <w:szCs w:val="40"/>
          <w:rtl/>
        </w:rPr>
        <w:t xml:space="preserve"> ومتوافقة مع المعايير الدولية، مما يشجع على استثمارات جديدة</w:t>
      </w:r>
      <w:r>
        <w:rPr>
          <w:rFonts w:ascii="Traditional Arabic" w:hAnsi="Traditional Arabic" w:cs="Traditional Arabic" w:hint="cs"/>
          <w:sz w:val="40"/>
          <w:szCs w:val="40"/>
          <w:rtl/>
        </w:rPr>
        <w:t>،</w:t>
      </w:r>
      <w:r w:rsidR="00950D2F" w:rsidRPr="00C406BC">
        <w:rPr>
          <w:rFonts w:ascii="Traditional Arabic" w:hAnsi="Traditional Arabic" w:cs="Traditional Arabic"/>
          <w:sz w:val="40"/>
          <w:szCs w:val="40"/>
          <w:rtl/>
        </w:rPr>
        <w:t xml:space="preserve"> ويعزز التنمية الاقتصادية في المملكة العربية السعودية</w:t>
      </w:r>
      <w:r w:rsidR="00950D2F" w:rsidRPr="00C406BC">
        <w:rPr>
          <w:rFonts w:ascii="Traditional Arabic" w:hAnsi="Traditional Arabic" w:cs="Traditional Arabic"/>
          <w:sz w:val="40"/>
          <w:szCs w:val="40"/>
        </w:rPr>
        <w:t>.</w:t>
      </w:r>
    </w:p>
    <w:p w14:paraId="14DA779B" w14:textId="77777777" w:rsidR="00286DB0" w:rsidRPr="00C406BC" w:rsidRDefault="00286DB0" w:rsidP="00C406BC">
      <w:pPr>
        <w:spacing w:after="240" w:line="360" w:lineRule="auto"/>
        <w:ind w:firstLine="720"/>
        <w:rPr>
          <w:rFonts w:ascii="Traditional Arabic" w:hAnsi="Traditional Arabic" w:cs="Traditional Arabic"/>
          <w:sz w:val="40"/>
          <w:szCs w:val="40"/>
          <w:rtl/>
        </w:rPr>
      </w:pPr>
    </w:p>
    <w:p w14:paraId="2B94EC0E" w14:textId="77777777" w:rsidR="005261EC" w:rsidRPr="00C406BC" w:rsidRDefault="005261EC" w:rsidP="00C406BC">
      <w:pPr>
        <w:pStyle w:val="1"/>
        <w:spacing w:after="240" w:line="360" w:lineRule="auto"/>
        <w:rPr>
          <w:rFonts w:ascii="Traditional Arabic" w:hAnsi="Traditional Arabic" w:cs="Traditional Arabic"/>
          <w:b/>
          <w:bCs/>
          <w:color w:val="auto"/>
          <w:sz w:val="40"/>
          <w:szCs w:val="40"/>
          <w:rtl w:val="0"/>
        </w:rPr>
      </w:pPr>
      <w:bookmarkStart w:id="2" w:name="_Toc168891638"/>
      <w:r w:rsidRPr="00C406BC">
        <w:rPr>
          <w:rFonts w:ascii="Traditional Arabic" w:hAnsi="Traditional Arabic" w:cs="Traditional Arabic"/>
          <w:b/>
          <w:bCs/>
          <w:color w:val="auto"/>
          <w:sz w:val="40"/>
          <w:szCs w:val="40"/>
        </w:rPr>
        <w:lastRenderedPageBreak/>
        <w:t>أسباب اختيار الموضوع:</w:t>
      </w:r>
      <w:bookmarkEnd w:id="2"/>
    </w:p>
    <w:p w14:paraId="0B30978D" w14:textId="77777777" w:rsidR="005261EC" w:rsidRDefault="005261EC" w:rsidP="00C406BC">
      <w:pPr>
        <w:spacing w:after="240" w:line="360" w:lineRule="auto"/>
        <w:ind w:firstLine="720"/>
        <w:rPr>
          <w:rFonts w:ascii="Traditional Arabic" w:hAnsi="Traditional Arabic" w:cs="Traditional Arabic"/>
          <w:sz w:val="40"/>
          <w:szCs w:val="40"/>
          <w:rtl/>
        </w:rPr>
      </w:pPr>
      <w:r w:rsidRPr="00C406BC">
        <w:rPr>
          <w:rFonts w:ascii="Traditional Arabic" w:hAnsi="Traditional Arabic" w:cs="Traditional Arabic"/>
          <w:sz w:val="40"/>
          <w:szCs w:val="40"/>
          <w:rtl/>
        </w:rPr>
        <w:t>يمكن حصر الأسباب التي جعلت الباحث يختار هذا الموضع في الآتي:</w:t>
      </w:r>
    </w:p>
    <w:p w14:paraId="1166FB7C" w14:textId="77777777" w:rsidR="001306FC" w:rsidRDefault="001306FC" w:rsidP="001306FC">
      <w:pPr>
        <w:spacing w:after="240" w:line="360" w:lineRule="auto"/>
        <w:rPr>
          <w:rFonts w:ascii="Traditional Arabic" w:hAnsi="Traditional Arabic" w:cs="Traditional Arabic"/>
          <w:sz w:val="40"/>
          <w:szCs w:val="40"/>
          <w:rtl/>
        </w:rPr>
      </w:pPr>
      <w:r>
        <w:rPr>
          <w:rFonts w:ascii="Traditional Arabic" w:hAnsi="Traditional Arabic" w:cs="Traditional Arabic" w:hint="cs"/>
          <w:sz w:val="40"/>
          <w:szCs w:val="40"/>
          <w:rtl/>
        </w:rPr>
        <w:t>1-ما سبق ذكره من أهمية الموضوع.</w:t>
      </w:r>
    </w:p>
    <w:p w14:paraId="308EACB5" w14:textId="77777777" w:rsidR="001306FC" w:rsidRDefault="001306FC" w:rsidP="001306FC">
      <w:pPr>
        <w:spacing w:after="240" w:line="360" w:lineRule="auto"/>
        <w:rPr>
          <w:rFonts w:ascii="Traditional Arabic" w:hAnsi="Traditional Arabic" w:cs="Traditional Arabic"/>
          <w:sz w:val="40"/>
          <w:szCs w:val="40"/>
        </w:rPr>
      </w:pPr>
      <w:r>
        <w:rPr>
          <w:rFonts w:ascii="Traditional Arabic" w:hAnsi="Traditional Arabic" w:cs="Traditional Arabic" w:hint="cs"/>
          <w:sz w:val="40"/>
          <w:szCs w:val="40"/>
          <w:rtl/>
        </w:rPr>
        <w:t>2-رغبة الباحث</w:t>
      </w:r>
      <w:r w:rsidR="00950D2F" w:rsidRPr="00C406BC">
        <w:rPr>
          <w:rFonts w:ascii="Traditional Arabic" w:hAnsi="Traditional Arabic" w:cs="Traditional Arabic"/>
          <w:sz w:val="40"/>
          <w:szCs w:val="40"/>
          <w:rtl/>
        </w:rPr>
        <w:t xml:space="preserve"> في فهم كيفية تطبيق</w:t>
      </w:r>
      <w:r>
        <w:rPr>
          <w:rFonts w:ascii="Traditional Arabic" w:hAnsi="Traditional Arabic" w:cs="Traditional Arabic" w:hint="cs"/>
          <w:sz w:val="40"/>
          <w:szCs w:val="40"/>
          <w:rtl/>
        </w:rPr>
        <w:t xml:space="preserve"> </w:t>
      </w:r>
      <w:r w:rsidRPr="00C406BC">
        <w:rPr>
          <w:rFonts w:ascii="Traditional Arabic" w:hAnsi="Traditional Arabic" w:cs="Traditional Arabic"/>
          <w:sz w:val="40"/>
          <w:szCs w:val="40"/>
          <w:rtl/>
        </w:rPr>
        <w:t>التقادم في نظام المحاكم التجارية السعودية</w:t>
      </w:r>
      <w:r>
        <w:rPr>
          <w:rFonts w:ascii="Traditional Arabic" w:hAnsi="Traditional Arabic" w:cs="Traditional Arabic" w:hint="cs"/>
          <w:sz w:val="40"/>
          <w:szCs w:val="40"/>
          <w:rtl/>
        </w:rPr>
        <w:t>،</w:t>
      </w:r>
      <w:r w:rsidR="00950D2F" w:rsidRPr="00C406BC">
        <w:rPr>
          <w:rFonts w:ascii="Traditional Arabic" w:hAnsi="Traditional Arabic" w:cs="Traditional Arabic"/>
          <w:sz w:val="40"/>
          <w:szCs w:val="40"/>
          <w:rtl/>
        </w:rPr>
        <w:t xml:space="preserve"> وتأثيراته في سياق القضايا التجارية في المملكة العربية السعودية</w:t>
      </w:r>
      <w:r w:rsidR="00950D2F" w:rsidRPr="00C406BC">
        <w:rPr>
          <w:rFonts w:ascii="Traditional Arabic" w:hAnsi="Traditional Arabic" w:cs="Traditional Arabic"/>
          <w:sz w:val="40"/>
          <w:szCs w:val="40"/>
        </w:rPr>
        <w:t>.</w:t>
      </w:r>
    </w:p>
    <w:p w14:paraId="7A3D9D74" w14:textId="3DF16104" w:rsidR="00950D2F" w:rsidRPr="00C406BC" w:rsidRDefault="001306FC" w:rsidP="001306FC">
      <w:pPr>
        <w:spacing w:after="240" w:line="360" w:lineRule="auto"/>
        <w:rPr>
          <w:rFonts w:ascii="Traditional Arabic" w:hAnsi="Traditional Arabic" w:cs="Traditional Arabic"/>
          <w:sz w:val="40"/>
          <w:szCs w:val="40"/>
        </w:rPr>
      </w:pPr>
      <w:r>
        <w:rPr>
          <w:rFonts w:ascii="Traditional Arabic" w:hAnsi="Traditional Arabic" w:cs="Traditional Arabic" w:hint="cs"/>
          <w:sz w:val="40"/>
          <w:szCs w:val="40"/>
          <w:rtl/>
        </w:rPr>
        <w:t>3-</w:t>
      </w:r>
      <w:r w:rsidR="00950D2F" w:rsidRPr="00C406BC">
        <w:rPr>
          <w:rFonts w:ascii="Traditional Arabic" w:hAnsi="Traditional Arabic" w:cs="Traditional Arabic"/>
          <w:sz w:val="40"/>
          <w:szCs w:val="40"/>
          <w:rtl/>
        </w:rPr>
        <w:t xml:space="preserve">الحاجة إلى فهم عميق للتشريعات التجارية: </w:t>
      </w:r>
      <w:r>
        <w:rPr>
          <w:rFonts w:ascii="Traditional Arabic" w:hAnsi="Traditional Arabic" w:cs="Traditional Arabic" w:hint="cs"/>
          <w:sz w:val="40"/>
          <w:szCs w:val="40"/>
          <w:rtl/>
        </w:rPr>
        <w:t>فلدى</w:t>
      </w:r>
      <w:r w:rsidR="00950D2F" w:rsidRPr="00C406BC">
        <w:rPr>
          <w:rFonts w:ascii="Traditional Arabic" w:hAnsi="Traditional Arabic" w:cs="Traditional Arabic"/>
          <w:sz w:val="40"/>
          <w:szCs w:val="40"/>
          <w:rtl/>
        </w:rPr>
        <w:t xml:space="preserve"> الباحث </w:t>
      </w:r>
      <w:r>
        <w:rPr>
          <w:rFonts w:ascii="Traditional Arabic" w:hAnsi="Traditional Arabic" w:cs="Traditional Arabic" w:hint="cs"/>
          <w:sz w:val="40"/>
          <w:szCs w:val="40"/>
          <w:rtl/>
        </w:rPr>
        <w:t>رغبة كذلك</w:t>
      </w:r>
      <w:r w:rsidR="00950D2F" w:rsidRPr="00C406BC">
        <w:rPr>
          <w:rFonts w:ascii="Traditional Arabic" w:hAnsi="Traditional Arabic" w:cs="Traditional Arabic"/>
          <w:sz w:val="40"/>
          <w:szCs w:val="40"/>
          <w:rtl/>
        </w:rPr>
        <w:t xml:space="preserve"> في</w:t>
      </w:r>
      <w:r>
        <w:rPr>
          <w:rFonts w:ascii="Traditional Arabic" w:hAnsi="Traditional Arabic" w:cs="Traditional Arabic" w:hint="cs"/>
          <w:sz w:val="40"/>
          <w:szCs w:val="40"/>
          <w:rtl/>
        </w:rPr>
        <w:t xml:space="preserve"> سبر أغوار</w:t>
      </w:r>
      <w:r w:rsidR="00950D2F" w:rsidRPr="00C406BC">
        <w:rPr>
          <w:rFonts w:ascii="Traditional Arabic" w:hAnsi="Traditional Arabic" w:cs="Traditional Arabic"/>
          <w:sz w:val="40"/>
          <w:szCs w:val="40"/>
          <w:rtl/>
        </w:rPr>
        <w:t xml:space="preserve"> التفاصيل</w:t>
      </w:r>
      <w:r>
        <w:rPr>
          <w:rFonts w:ascii="Traditional Arabic" w:hAnsi="Traditional Arabic" w:cs="Traditional Arabic" w:hint="cs"/>
          <w:sz w:val="40"/>
          <w:szCs w:val="40"/>
          <w:rtl/>
        </w:rPr>
        <w:t>،</w:t>
      </w:r>
      <w:r w:rsidR="00950D2F" w:rsidRPr="00C406BC">
        <w:rPr>
          <w:rFonts w:ascii="Traditional Arabic" w:hAnsi="Traditional Arabic" w:cs="Traditional Arabic"/>
          <w:sz w:val="40"/>
          <w:szCs w:val="40"/>
          <w:rtl/>
        </w:rPr>
        <w:t xml:space="preserve"> والتحديات التي تواجه القضايا التجارية في المملكة العربية السعودية، ويعتبر فهم التقادم</w:t>
      </w:r>
      <w:r>
        <w:rPr>
          <w:rFonts w:ascii="Traditional Arabic" w:hAnsi="Traditional Arabic" w:cs="Traditional Arabic" w:hint="cs"/>
          <w:sz w:val="40"/>
          <w:szCs w:val="40"/>
          <w:rtl/>
        </w:rPr>
        <w:t>،</w:t>
      </w:r>
      <w:r w:rsidR="00950D2F" w:rsidRPr="00C406BC">
        <w:rPr>
          <w:rFonts w:ascii="Traditional Arabic" w:hAnsi="Traditional Arabic" w:cs="Traditional Arabic"/>
          <w:sz w:val="40"/>
          <w:szCs w:val="40"/>
          <w:rtl/>
        </w:rPr>
        <w:t xml:space="preserve"> وأنواعه جزءًا أساسيًا من هذا ال</w:t>
      </w:r>
      <w:r>
        <w:rPr>
          <w:rFonts w:ascii="Traditional Arabic" w:hAnsi="Traditional Arabic" w:cs="Traditional Arabic" w:hint="cs"/>
          <w:sz w:val="40"/>
          <w:szCs w:val="40"/>
          <w:rtl/>
        </w:rPr>
        <w:t>أمر</w:t>
      </w:r>
      <w:r w:rsidR="00950D2F" w:rsidRPr="00C406BC">
        <w:rPr>
          <w:rFonts w:ascii="Traditional Arabic" w:hAnsi="Traditional Arabic" w:cs="Traditional Arabic"/>
          <w:sz w:val="40"/>
          <w:szCs w:val="40"/>
        </w:rPr>
        <w:t>.</w:t>
      </w:r>
    </w:p>
    <w:p w14:paraId="3CBAD083" w14:textId="5D57655E" w:rsidR="008B089E" w:rsidRPr="00C406BC" w:rsidRDefault="001306FC" w:rsidP="001306FC">
      <w:pPr>
        <w:spacing w:after="240" w:line="360" w:lineRule="auto"/>
        <w:rPr>
          <w:rFonts w:ascii="Traditional Arabic" w:hAnsi="Traditional Arabic" w:cs="Traditional Arabic"/>
          <w:sz w:val="40"/>
          <w:szCs w:val="40"/>
        </w:rPr>
      </w:pPr>
      <w:r>
        <w:rPr>
          <w:rFonts w:ascii="Traditional Arabic" w:hAnsi="Traditional Arabic" w:cs="Traditional Arabic" w:hint="cs"/>
          <w:sz w:val="40"/>
          <w:szCs w:val="40"/>
          <w:rtl/>
        </w:rPr>
        <w:t>4-</w:t>
      </w:r>
      <w:r w:rsidR="00950D2F" w:rsidRPr="00C406BC">
        <w:rPr>
          <w:rFonts w:ascii="Traditional Arabic" w:hAnsi="Traditional Arabic" w:cs="Traditional Arabic"/>
          <w:sz w:val="40"/>
          <w:szCs w:val="40"/>
          <w:rtl/>
        </w:rPr>
        <w:t xml:space="preserve">المساهمة في تحسين النظام القضائي: </w:t>
      </w:r>
      <w:r w:rsidR="00CD6FF4">
        <w:rPr>
          <w:rFonts w:ascii="Traditional Arabic" w:hAnsi="Traditional Arabic" w:cs="Traditional Arabic" w:hint="cs"/>
          <w:sz w:val="40"/>
          <w:szCs w:val="40"/>
          <w:rtl/>
        </w:rPr>
        <w:t>حيث يعمل الباحث على</w:t>
      </w:r>
      <w:r w:rsidR="00950D2F" w:rsidRPr="00C406BC">
        <w:rPr>
          <w:rFonts w:ascii="Traditional Arabic" w:hAnsi="Traditional Arabic" w:cs="Traditional Arabic"/>
          <w:sz w:val="40"/>
          <w:szCs w:val="40"/>
          <w:rtl/>
        </w:rPr>
        <w:t xml:space="preserve"> دراسة تقييمية لفهم كيفية تحسين نظام المحاكم التجارية، ويعتبر </w:t>
      </w:r>
      <w:r w:rsidR="00CD6FF4">
        <w:rPr>
          <w:rFonts w:ascii="Traditional Arabic" w:hAnsi="Traditional Arabic" w:cs="Traditional Arabic" w:hint="cs"/>
          <w:sz w:val="40"/>
          <w:szCs w:val="40"/>
          <w:rtl/>
        </w:rPr>
        <w:t>الوقوف على</w:t>
      </w:r>
      <w:r w:rsidR="00950D2F" w:rsidRPr="00C406BC">
        <w:rPr>
          <w:rFonts w:ascii="Traditional Arabic" w:hAnsi="Traditional Arabic" w:cs="Traditional Arabic"/>
          <w:sz w:val="40"/>
          <w:szCs w:val="40"/>
          <w:rtl/>
        </w:rPr>
        <w:t xml:space="preserve"> التقادم</w:t>
      </w:r>
      <w:r w:rsidR="00CD6FF4">
        <w:rPr>
          <w:rFonts w:ascii="Traditional Arabic" w:hAnsi="Traditional Arabic" w:cs="Traditional Arabic" w:hint="cs"/>
          <w:sz w:val="40"/>
          <w:szCs w:val="40"/>
          <w:rtl/>
        </w:rPr>
        <w:t>،</w:t>
      </w:r>
      <w:r w:rsidR="00950D2F" w:rsidRPr="00C406BC">
        <w:rPr>
          <w:rFonts w:ascii="Traditional Arabic" w:hAnsi="Traditional Arabic" w:cs="Traditional Arabic"/>
          <w:sz w:val="40"/>
          <w:szCs w:val="40"/>
          <w:rtl/>
        </w:rPr>
        <w:t xml:space="preserve"> وتحليله جزءًا مهمًا من هذ</w:t>
      </w:r>
      <w:r w:rsidR="00CD6FF4">
        <w:rPr>
          <w:rFonts w:ascii="Traditional Arabic" w:hAnsi="Traditional Arabic" w:cs="Traditional Arabic" w:hint="cs"/>
          <w:sz w:val="40"/>
          <w:szCs w:val="40"/>
          <w:rtl/>
        </w:rPr>
        <w:t>ه المهمة</w:t>
      </w:r>
      <w:r w:rsidR="00950D2F" w:rsidRPr="00C406BC">
        <w:rPr>
          <w:rFonts w:ascii="Traditional Arabic" w:hAnsi="Traditional Arabic" w:cs="Traditional Arabic"/>
          <w:sz w:val="40"/>
          <w:szCs w:val="40"/>
        </w:rPr>
        <w:t>.</w:t>
      </w:r>
    </w:p>
    <w:p w14:paraId="1C2B27BD" w14:textId="77777777" w:rsidR="00286DB0" w:rsidRPr="00C406BC" w:rsidRDefault="00286DB0" w:rsidP="00C406BC">
      <w:pPr>
        <w:spacing w:after="240" w:line="360" w:lineRule="auto"/>
        <w:ind w:firstLine="720"/>
        <w:rPr>
          <w:rFonts w:ascii="Traditional Arabic" w:hAnsi="Traditional Arabic" w:cs="Traditional Arabic"/>
          <w:sz w:val="40"/>
          <w:szCs w:val="40"/>
          <w:rtl/>
        </w:rPr>
      </w:pPr>
    </w:p>
    <w:p w14:paraId="15992AF2" w14:textId="77777777" w:rsidR="00286DB0" w:rsidRPr="00C406BC" w:rsidRDefault="00286DB0" w:rsidP="00C406BC">
      <w:pPr>
        <w:spacing w:after="240" w:line="360" w:lineRule="auto"/>
        <w:ind w:firstLine="720"/>
        <w:rPr>
          <w:rFonts w:ascii="Traditional Arabic" w:hAnsi="Traditional Arabic" w:cs="Traditional Arabic"/>
          <w:sz w:val="40"/>
          <w:szCs w:val="40"/>
        </w:rPr>
      </w:pPr>
    </w:p>
    <w:p w14:paraId="518DFE0F" w14:textId="458BF6C6" w:rsidR="005261EC" w:rsidRPr="00C406BC" w:rsidRDefault="005261EC" w:rsidP="00C406BC">
      <w:pPr>
        <w:spacing w:after="240" w:line="360" w:lineRule="auto"/>
        <w:rPr>
          <w:rFonts w:ascii="Traditional Arabic" w:hAnsi="Traditional Arabic" w:cs="Traditional Arabic"/>
          <w:sz w:val="40"/>
          <w:szCs w:val="40"/>
          <w:rtl/>
        </w:rPr>
      </w:pPr>
      <w:bookmarkStart w:id="3" w:name="_Toc168891639"/>
      <w:r w:rsidRPr="00C406BC">
        <w:rPr>
          <w:rStyle w:val="1Char"/>
          <w:rFonts w:ascii="Traditional Arabic" w:hAnsi="Traditional Arabic" w:cs="Traditional Arabic"/>
          <w:b/>
          <w:bCs/>
          <w:color w:val="auto"/>
          <w:sz w:val="40"/>
          <w:szCs w:val="40"/>
          <w:rtl/>
        </w:rPr>
        <w:lastRenderedPageBreak/>
        <w:t>أهداف البحث</w:t>
      </w:r>
      <w:bookmarkEnd w:id="3"/>
      <w:r w:rsidRPr="00C406BC">
        <w:rPr>
          <w:rFonts w:ascii="Traditional Arabic" w:hAnsi="Traditional Arabic" w:cs="Traditional Arabic"/>
          <w:sz w:val="40"/>
          <w:szCs w:val="40"/>
          <w:rtl/>
        </w:rPr>
        <w:t>:</w:t>
      </w:r>
    </w:p>
    <w:p w14:paraId="4F58679B" w14:textId="77777777" w:rsidR="005261EC" w:rsidRPr="00C406BC" w:rsidRDefault="005261EC" w:rsidP="00C406BC">
      <w:pPr>
        <w:spacing w:after="240" w:line="360" w:lineRule="auto"/>
        <w:ind w:firstLine="720"/>
        <w:rPr>
          <w:rFonts w:ascii="Traditional Arabic" w:hAnsi="Traditional Arabic" w:cs="Traditional Arabic"/>
          <w:sz w:val="40"/>
          <w:szCs w:val="40"/>
          <w:rtl/>
        </w:rPr>
      </w:pPr>
      <w:r w:rsidRPr="00C406BC">
        <w:rPr>
          <w:rFonts w:ascii="Traditional Arabic" w:hAnsi="Traditional Arabic" w:cs="Traditional Arabic"/>
          <w:sz w:val="40"/>
          <w:szCs w:val="40"/>
          <w:rtl/>
        </w:rPr>
        <w:t>يهدف الباحث من خلال هذا البحث لتحقيق الأهداف الآتية:</w:t>
      </w:r>
    </w:p>
    <w:p w14:paraId="0511C5CF" w14:textId="0258668B" w:rsidR="00950D2F" w:rsidRPr="00C406BC" w:rsidRDefault="003E6A10" w:rsidP="003E6A10">
      <w:pPr>
        <w:pStyle w:val="a9"/>
        <w:spacing w:after="240" w:line="360" w:lineRule="auto"/>
        <w:ind w:left="360"/>
        <w:rPr>
          <w:rFonts w:ascii="Traditional Arabic" w:hAnsi="Traditional Arabic" w:cs="Traditional Arabic"/>
          <w:sz w:val="40"/>
          <w:szCs w:val="40"/>
        </w:rPr>
      </w:pPr>
      <w:r>
        <w:rPr>
          <w:rFonts w:ascii="Traditional Arabic" w:hAnsi="Traditional Arabic" w:cs="Traditional Arabic" w:hint="cs"/>
          <w:sz w:val="40"/>
          <w:szCs w:val="40"/>
          <w:rtl/>
        </w:rPr>
        <w:t>1-</w:t>
      </w:r>
      <w:r w:rsidR="00950D2F" w:rsidRPr="00C406BC">
        <w:rPr>
          <w:rFonts w:ascii="Traditional Arabic" w:hAnsi="Traditional Arabic" w:cs="Traditional Arabic"/>
          <w:sz w:val="40"/>
          <w:szCs w:val="40"/>
          <w:rtl/>
        </w:rPr>
        <w:t>تحليل مفهوم التقادم وأنواعه في نظام المحاكم التجارية السعودية لفهم تطبيقاته</w:t>
      </w:r>
      <w:r>
        <w:rPr>
          <w:rFonts w:ascii="Traditional Arabic" w:hAnsi="Traditional Arabic" w:cs="Traditional Arabic" w:hint="cs"/>
          <w:sz w:val="40"/>
          <w:szCs w:val="40"/>
          <w:rtl/>
        </w:rPr>
        <w:t>،</w:t>
      </w:r>
      <w:r w:rsidR="00950D2F" w:rsidRPr="00C406BC">
        <w:rPr>
          <w:rFonts w:ascii="Traditional Arabic" w:hAnsi="Traditional Arabic" w:cs="Traditional Arabic"/>
          <w:sz w:val="40"/>
          <w:szCs w:val="40"/>
          <w:rtl/>
        </w:rPr>
        <w:t xml:space="preserve"> وتأثيراته</w:t>
      </w:r>
      <w:r w:rsidR="00950D2F" w:rsidRPr="00C406BC">
        <w:rPr>
          <w:rFonts w:ascii="Traditional Arabic" w:hAnsi="Traditional Arabic" w:cs="Traditional Arabic"/>
          <w:sz w:val="40"/>
          <w:szCs w:val="40"/>
        </w:rPr>
        <w:t>.</w:t>
      </w:r>
    </w:p>
    <w:p w14:paraId="15DE5345" w14:textId="1A092BDB" w:rsidR="00950D2F" w:rsidRPr="00C406BC" w:rsidRDefault="003E6A10" w:rsidP="003E6A10">
      <w:pPr>
        <w:pStyle w:val="a9"/>
        <w:spacing w:after="240" w:line="360" w:lineRule="auto"/>
        <w:ind w:left="360"/>
        <w:rPr>
          <w:rFonts w:ascii="Traditional Arabic" w:hAnsi="Traditional Arabic" w:cs="Traditional Arabic"/>
          <w:sz w:val="40"/>
          <w:szCs w:val="40"/>
        </w:rPr>
      </w:pPr>
      <w:r>
        <w:rPr>
          <w:rFonts w:ascii="Traditional Arabic" w:hAnsi="Traditional Arabic" w:cs="Traditional Arabic" w:hint="cs"/>
          <w:sz w:val="40"/>
          <w:szCs w:val="40"/>
          <w:rtl/>
        </w:rPr>
        <w:t>2-بيان أثر</w:t>
      </w:r>
      <w:r w:rsidR="00950D2F" w:rsidRPr="00C406BC">
        <w:rPr>
          <w:rFonts w:ascii="Traditional Arabic" w:hAnsi="Traditional Arabic" w:cs="Traditional Arabic"/>
          <w:sz w:val="40"/>
          <w:szCs w:val="40"/>
          <w:rtl/>
        </w:rPr>
        <w:t xml:space="preserve"> التقادم على عملية الحكم في القضايا التجارية</w:t>
      </w:r>
      <w:r>
        <w:rPr>
          <w:rFonts w:ascii="Traditional Arabic" w:hAnsi="Traditional Arabic" w:cs="Traditional Arabic" w:hint="cs"/>
          <w:sz w:val="40"/>
          <w:szCs w:val="40"/>
          <w:rtl/>
        </w:rPr>
        <w:t>،</w:t>
      </w:r>
      <w:r w:rsidR="00950D2F" w:rsidRPr="00C406BC">
        <w:rPr>
          <w:rFonts w:ascii="Traditional Arabic" w:hAnsi="Traditional Arabic" w:cs="Traditional Arabic"/>
          <w:sz w:val="40"/>
          <w:szCs w:val="40"/>
          <w:rtl/>
        </w:rPr>
        <w:t xml:space="preserve"> و</w:t>
      </w:r>
      <w:r>
        <w:rPr>
          <w:rFonts w:ascii="Traditional Arabic" w:hAnsi="Traditional Arabic" w:cs="Traditional Arabic" w:hint="cs"/>
          <w:sz w:val="40"/>
          <w:szCs w:val="40"/>
          <w:rtl/>
        </w:rPr>
        <w:t xml:space="preserve">على </w:t>
      </w:r>
      <w:r w:rsidR="00950D2F" w:rsidRPr="00C406BC">
        <w:rPr>
          <w:rFonts w:ascii="Traditional Arabic" w:hAnsi="Traditional Arabic" w:cs="Traditional Arabic"/>
          <w:sz w:val="40"/>
          <w:szCs w:val="40"/>
          <w:rtl/>
        </w:rPr>
        <w:t xml:space="preserve">سقوط الحكم، </w:t>
      </w:r>
      <w:r>
        <w:rPr>
          <w:rFonts w:ascii="Traditional Arabic" w:hAnsi="Traditional Arabic" w:cs="Traditional Arabic" w:hint="cs"/>
          <w:sz w:val="40"/>
          <w:szCs w:val="40"/>
          <w:rtl/>
        </w:rPr>
        <w:t>و</w:t>
      </w:r>
      <w:r w:rsidR="00950D2F" w:rsidRPr="00C406BC">
        <w:rPr>
          <w:rFonts w:ascii="Traditional Arabic" w:hAnsi="Traditional Arabic" w:cs="Traditional Arabic"/>
          <w:sz w:val="40"/>
          <w:szCs w:val="40"/>
          <w:rtl/>
        </w:rPr>
        <w:t>تقديم أمثلة عملية</w:t>
      </w:r>
      <w:r>
        <w:rPr>
          <w:rFonts w:ascii="Traditional Arabic" w:hAnsi="Traditional Arabic" w:cs="Traditional Arabic" w:hint="cs"/>
          <w:sz w:val="40"/>
          <w:szCs w:val="40"/>
          <w:rtl/>
        </w:rPr>
        <w:t>،</w:t>
      </w:r>
      <w:r w:rsidR="00950D2F" w:rsidRPr="00C406BC">
        <w:rPr>
          <w:rFonts w:ascii="Traditional Arabic" w:hAnsi="Traditional Arabic" w:cs="Traditional Arabic"/>
          <w:sz w:val="40"/>
          <w:szCs w:val="40"/>
          <w:rtl/>
        </w:rPr>
        <w:t xml:space="preserve"> ودراسة حالات عملية</w:t>
      </w:r>
      <w:r w:rsidR="00950D2F" w:rsidRPr="00C406BC">
        <w:rPr>
          <w:rFonts w:ascii="Traditional Arabic" w:hAnsi="Traditional Arabic" w:cs="Traditional Arabic"/>
          <w:sz w:val="40"/>
          <w:szCs w:val="40"/>
        </w:rPr>
        <w:t>.</w:t>
      </w:r>
    </w:p>
    <w:p w14:paraId="0D2D32F8" w14:textId="0B750EBB" w:rsidR="00950D2F" w:rsidRPr="00C406BC" w:rsidRDefault="009D7EA9" w:rsidP="009D7EA9">
      <w:pPr>
        <w:pStyle w:val="a9"/>
        <w:spacing w:after="240" w:line="360" w:lineRule="auto"/>
        <w:rPr>
          <w:rFonts w:ascii="Traditional Arabic" w:hAnsi="Traditional Arabic" w:cs="Traditional Arabic"/>
          <w:sz w:val="40"/>
          <w:szCs w:val="40"/>
        </w:rPr>
      </w:pPr>
      <w:r>
        <w:rPr>
          <w:rFonts w:ascii="Traditional Arabic" w:hAnsi="Traditional Arabic" w:cs="Traditional Arabic" w:hint="cs"/>
          <w:sz w:val="40"/>
          <w:szCs w:val="40"/>
          <w:rtl/>
        </w:rPr>
        <w:t>3-</w:t>
      </w:r>
      <w:r w:rsidR="00950D2F" w:rsidRPr="00C406BC">
        <w:rPr>
          <w:rFonts w:ascii="Traditional Arabic" w:hAnsi="Traditional Arabic" w:cs="Traditional Arabic"/>
          <w:sz w:val="40"/>
          <w:szCs w:val="40"/>
          <w:rtl/>
        </w:rPr>
        <w:t>تحليل الاستثناءات الموجودة في مدونة التجارة السعودية لقواعد التقادم</w:t>
      </w:r>
      <w:r>
        <w:rPr>
          <w:rFonts w:ascii="Traditional Arabic" w:hAnsi="Traditional Arabic" w:cs="Traditional Arabic" w:hint="cs"/>
          <w:sz w:val="40"/>
          <w:szCs w:val="40"/>
          <w:rtl/>
        </w:rPr>
        <w:t>،</w:t>
      </w:r>
      <w:r w:rsidR="00950D2F" w:rsidRPr="00C406BC">
        <w:rPr>
          <w:rFonts w:ascii="Traditional Arabic" w:hAnsi="Traditional Arabic" w:cs="Traditional Arabic"/>
          <w:sz w:val="40"/>
          <w:szCs w:val="40"/>
          <w:rtl/>
        </w:rPr>
        <w:t xml:space="preserve"> وتقديم توصيات لتحسين تطبيق العدالة في القضايا التجارية</w:t>
      </w:r>
      <w:r>
        <w:rPr>
          <w:rFonts w:ascii="Traditional Arabic" w:hAnsi="Traditional Arabic" w:cs="Traditional Arabic" w:hint="cs"/>
          <w:sz w:val="40"/>
          <w:szCs w:val="40"/>
          <w:rtl/>
        </w:rPr>
        <w:t>،</w:t>
      </w:r>
      <w:r w:rsidR="00950D2F" w:rsidRPr="00C406BC">
        <w:rPr>
          <w:rFonts w:ascii="Traditional Arabic" w:hAnsi="Traditional Arabic" w:cs="Traditional Arabic"/>
          <w:sz w:val="40"/>
          <w:szCs w:val="40"/>
          <w:rtl/>
        </w:rPr>
        <w:t xml:space="preserve"> وتجاوز التحديات المتعلقة بالتقادم</w:t>
      </w:r>
      <w:r w:rsidR="00950D2F" w:rsidRPr="00C406BC">
        <w:rPr>
          <w:rFonts w:ascii="Traditional Arabic" w:hAnsi="Traditional Arabic" w:cs="Traditional Arabic"/>
          <w:sz w:val="40"/>
          <w:szCs w:val="40"/>
        </w:rPr>
        <w:t>.</w:t>
      </w:r>
    </w:p>
    <w:p w14:paraId="53CE4212" w14:textId="77777777" w:rsidR="005261EC" w:rsidRPr="00C406BC" w:rsidRDefault="005261EC" w:rsidP="00C406BC">
      <w:pPr>
        <w:pStyle w:val="a9"/>
        <w:spacing w:after="240" w:line="360" w:lineRule="auto"/>
        <w:rPr>
          <w:rFonts w:ascii="Traditional Arabic" w:hAnsi="Traditional Arabic" w:cs="Traditional Arabic"/>
          <w:sz w:val="40"/>
          <w:szCs w:val="40"/>
          <w:rtl/>
        </w:rPr>
      </w:pPr>
      <w:bookmarkStart w:id="4" w:name="_Toc168891640"/>
      <w:r w:rsidRPr="00C406BC">
        <w:rPr>
          <w:rStyle w:val="1Char"/>
          <w:rFonts w:ascii="Traditional Arabic" w:hAnsi="Traditional Arabic" w:cs="Traditional Arabic"/>
          <w:b/>
          <w:bCs/>
          <w:color w:val="auto"/>
          <w:sz w:val="40"/>
          <w:szCs w:val="40"/>
          <w:rtl/>
        </w:rPr>
        <w:t>مشكلة البحث</w:t>
      </w:r>
      <w:bookmarkEnd w:id="4"/>
      <w:r w:rsidRPr="00C406BC">
        <w:rPr>
          <w:rFonts w:ascii="Traditional Arabic" w:hAnsi="Traditional Arabic" w:cs="Traditional Arabic"/>
          <w:sz w:val="40"/>
          <w:szCs w:val="40"/>
          <w:rtl/>
        </w:rPr>
        <w:t>:</w:t>
      </w:r>
    </w:p>
    <w:p w14:paraId="2AC98721" w14:textId="77777777" w:rsidR="005261EC" w:rsidRPr="00C406BC" w:rsidRDefault="005261EC" w:rsidP="00C406BC">
      <w:pPr>
        <w:spacing w:after="240" w:line="360" w:lineRule="auto"/>
        <w:ind w:firstLine="720"/>
        <w:rPr>
          <w:rFonts w:ascii="Traditional Arabic" w:hAnsi="Traditional Arabic" w:cs="Traditional Arabic"/>
          <w:sz w:val="40"/>
          <w:szCs w:val="40"/>
          <w:rtl/>
        </w:rPr>
      </w:pPr>
      <w:r w:rsidRPr="00C406BC">
        <w:rPr>
          <w:rFonts w:ascii="Traditional Arabic" w:hAnsi="Traditional Arabic" w:cs="Traditional Arabic"/>
          <w:sz w:val="40"/>
          <w:szCs w:val="40"/>
          <w:rtl/>
        </w:rPr>
        <w:t>تتمثل مشكلة البحث في السؤال الرئيس الآتي:</w:t>
      </w:r>
    </w:p>
    <w:p w14:paraId="0B049236" w14:textId="19DDBE91" w:rsidR="00286DB0" w:rsidRPr="00773552" w:rsidRDefault="00773552" w:rsidP="00773552">
      <w:pPr>
        <w:spacing w:after="240" w:line="360" w:lineRule="auto"/>
        <w:ind w:left="360"/>
        <w:rPr>
          <w:rFonts w:ascii="Traditional Arabic" w:hAnsi="Traditional Arabic" w:cs="Traditional Arabic"/>
          <w:sz w:val="40"/>
          <w:szCs w:val="40"/>
          <w:rtl/>
        </w:rPr>
      </w:pPr>
      <w:r w:rsidRPr="00773552">
        <w:rPr>
          <w:rFonts w:ascii="Traditional Arabic" w:hAnsi="Traditional Arabic" w:cs="Traditional Arabic" w:hint="cs"/>
          <w:sz w:val="40"/>
          <w:szCs w:val="40"/>
          <w:rtl/>
        </w:rPr>
        <w:t>ما أحكا</w:t>
      </w:r>
      <w:r w:rsidRPr="00773552">
        <w:rPr>
          <w:rFonts w:ascii="Traditional Arabic" w:hAnsi="Traditional Arabic" w:cs="Traditional Arabic" w:hint="eastAsia"/>
          <w:sz w:val="40"/>
          <w:szCs w:val="40"/>
          <w:rtl/>
        </w:rPr>
        <w:t>م</w:t>
      </w:r>
      <w:r w:rsidR="00950D2F" w:rsidRPr="00773552">
        <w:rPr>
          <w:rFonts w:ascii="Traditional Arabic" w:hAnsi="Traditional Arabic" w:cs="Traditional Arabic"/>
          <w:sz w:val="40"/>
          <w:szCs w:val="40"/>
          <w:rtl/>
        </w:rPr>
        <w:t xml:space="preserve"> التقادم في نظام المحاكم التجارية </w:t>
      </w:r>
      <w:r w:rsidR="009D7EA9" w:rsidRPr="00773552">
        <w:rPr>
          <w:rFonts w:ascii="Traditional Arabic" w:hAnsi="Traditional Arabic" w:cs="Traditional Arabic" w:hint="cs"/>
          <w:sz w:val="40"/>
          <w:szCs w:val="40"/>
          <w:rtl/>
        </w:rPr>
        <w:t>السعودية؟</w:t>
      </w:r>
    </w:p>
    <w:p w14:paraId="2C63CEF1" w14:textId="77777777" w:rsidR="005261EC" w:rsidRPr="00C406BC" w:rsidRDefault="005261EC" w:rsidP="00C406BC">
      <w:pPr>
        <w:spacing w:after="240" w:line="360" w:lineRule="auto"/>
        <w:rPr>
          <w:rFonts w:ascii="Traditional Arabic" w:hAnsi="Traditional Arabic" w:cs="Traditional Arabic"/>
          <w:sz w:val="40"/>
          <w:szCs w:val="40"/>
          <w:rtl/>
        </w:rPr>
      </w:pPr>
      <w:bookmarkStart w:id="5" w:name="_Toc168891641"/>
      <w:r w:rsidRPr="00C406BC">
        <w:rPr>
          <w:rStyle w:val="1Char"/>
          <w:rFonts w:ascii="Traditional Arabic" w:hAnsi="Traditional Arabic" w:cs="Traditional Arabic"/>
          <w:b/>
          <w:bCs/>
          <w:color w:val="auto"/>
          <w:sz w:val="40"/>
          <w:szCs w:val="40"/>
          <w:rtl/>
        </w:rPr>
        <w:t>أسئلة البحث</w:t>
      </w:r>
      <w:bookmarkEnd w:id="5"/>
      <w:r w:rsidRPr="00C406BC">
        <w:rPr>
          <w:rFonts w:ascii="Traditional Arabic" w:hAnsi="Traditional Arabic" w:cs="Traditional Arabic"/>
          <w:sz w:val="40"/>
          <w:szCs w:val="40"/>
          <w:rtl/>
        </w:rPr>
        <w:t>:</w:t>
      </w:r>
    </w:p>
    <w:p w14:paraId="0C06C587" w14:textId="77777777" w:rsidR="005261EC" w:rsidRPr="00C406BC" w:rsidRDefault="005261EC" w:rsidP="00C406BC">
      <w:pPr>
        <w:spacing w:after="240" w:line="360" w:lineRule="auto"/>
        <w:ind w:firstLine="720"/>
        <w:rPr>
          <w:rFonts w:ascii="Traditional Arabic" w:hAnsi="Traditional Arabic" w:cs="Traditional Arabic"/>
          <w:sz w:val="40"/>
          <w:szCs w:val="40"/>
          <w:rtl/>
        </w:rPr>
      </w:pPr>
      <w:r w:rsidRPr="00C406BC">
        <w:rPr>
          <w:rFonts w:ascii="Traditional Arabic" w:hAnsi="Traditional Arabic" w:cs="Traditional Arabic"/>
          <w:sz w:val="40"/>
          <w:szCs w:val="40"/>
          <w:rtl/>
        </w:rPr>
        <w:lastRenderedPageBreak/>
        <w:t>سوف يقوم الباحث بتفكيك سؤال المشكلة للأسئلة الفرعية الآتية:</w:t>
      </w:r>
    </w:p>
    <w:p w14:paraId="482B4DA5" w14:textId="768D45A1" w:rsidR="00950D2F" w:rsidRDefault="009D7EA9" w:rsidP="009D7EA9">
      <w:pPr>
        <w:spacing w:after="240" w:line="360" w:lineRule="auto"/>
        <w:ind w:left="360"/>
        <w:rPr>
          <w:rFonts w:ascii="Traditional Arabic" w:hAnsi="Traditional Arabic" w:cs="Traditional Arabic"/>
          <w:sz w:val="40"/>
          <w:szCs w:val="40"/>
          <w:rtl/>
        </w:rPr>
      </w:pPr>
      <w:r>
        <w:rPr>
          <w:rFonts w:ascii="Traditional Arabic" w:hAnsi="Traditional Arabic" w:cs="Traditional Arabic" w:hint="cs"/>
          <w:sz w:val="40"/>
          <w:szCs w:val="40"/>
          <w:rtl/>
        </w:rPr>
        <w:t>1-</w:t>
      </w:r>
      <w:r w:rsidR="00950D2F" w:rsidRPr="00C406BC">
        <w:rPr>
          <w:rFonts w:ascii="Traditional Arabic" w:hAnsi="Traditional Arabic" w:cs="Traditional Arabic"/>
          <w:sz w:val="40"/>
          <w:szCs w:val="40"/>
          <w:rtl/>
        </w:rPr>
        <w:t>ما هو مفهوم التقادم</w:t>
      </w:r>
      <w:r>
        <w:rPr>
          <w:rFonts w:ascii="Traditional Arabic" w:hAnsi="Traditional Arabic" w:cs="Traditional Arabic" w:hint="cs"/>
          <w:sz w:val="40"/>
          <w:szCs w:val="40"/>
          <w:rtl/>
        </w:rPr>
        <w:t>،</w:t>
      </w:r>
      <w:r w:rsidR="00950D2F" w:rsidRPr="00C406BC">
        <w:rPr>
          <w:rFonts w:ascii="Traditional Arabic" w:hAnsi="Traditional Arabic" w:cs="Traditional Arabic"/>
          <w:sz w:val="40"/>
          <w:szCs w:val="40"/>
          <w:rtl/>
        </w:rPr>
        <w:t xml:space="preserve"> وما هي أنواعه في النظام القضائي التجاري السعودي؟</w:t>
      </w:r>
    </w:p>
    <w:p w14:paraId="597E5912" w14:textId="3FA4E527" w:rsidR="009D7EA9" w:rsidRPr="00C406BC" w:rsidRDefault="009D7EA9" w:rsidP="009D7EA9">
      <w:pPr>
        <w:spacing w:after="240" w:line="360" w:lineRule="auto"/>
        <w:ind w:left="360"/>
        <w:rPr>
          <w:rFonts w:ascii="Traditional Arabic" w:hAnsi="Traditional Arabic" w:cs="Traditional Arabic"/>
          <w:sz w:val="40"/>
          <w:szCs w:val="40"/>
        </w:rPr>
      </w:pPr>
      <w:r>
        <w:rPr>
          <w:rFonts w:ascii="Traditional Arabic" w:hAnsi="Traditional Arabic" w:cs="Traditional Arabic" w:hint="cs"/>
          <w:sz w:val="40"/>
          <w:szCs w:val="40"/>
          <w:rtl/>
        </w:rPr>
        <w:t>2-</w:t>
      </w:r>
      <w:r w:rsidRPr="00C406BC">
        <w:rPr>
          <w:rFonts w:ascii="Traditional Arabic" w:hAnsi="Traditional Arabic" w:cs="Traditional Arabic"/>
          <w:sz w:val="40"/>
          <w:szCs w:val="40"/>
          <w:rtl/>
        </w:rPr>
        <w:t>ما هي أسباب التقادم في النظام القضائي التجاري السعودي؟ وكيف يمكن مواجه</w:t>
      </w:r>
      <w:r>
        <w:rPr>
          <w:rFonts w:ascii="Traditional Arabic" w:hAnsi="Traditional Arabic" w:cs="Traditional Arabic" w:hint="cs"/>
          <w:sz w:val="40"/>
          <w:szCs w:val="40"/>
          <w:rtl/>
        </w:rPr>
        <w:t>ة تلك الأسباب،</w:t>
      </w:r>
      <w:r w:rsidRPr="00C406BC">
        <w:rPr>
          <w:rFonts w:ascii="Traditional Arabic" w:hAnsi="Traditional Arabic" w:cs="Traditional Arabic"/>
          <w:sz w:val="40"/>
          <w:szCs w:val="40"/>
          <w:rtl/>
        </w:rPr>
        <w:t xml:space="preserve"> والحد منها؟</w:t>
      </w:r>
    </w:p>
    <w:p w14:paraId="404E8BBB" w14:textId="0E26C618" w:rsidR="00950D2F" w:rsidRPr="00C406BC" w:rsidRDefault="009D7EA9" w:rsidP="009D7EA9">
      <w:pPr>
        <w:spacing w:after="240" w:line="360" w:lineRule="auto"/>
        <w:rPr>
          <w:rFonts w:ascii="Traditional Arabic" w:hAnsi="Traditional Arabic" w:cs="Traditional Arabic"/>
          <w:sz w:val="40"/>
          <w:szCs w:val="40"/>
        </w:rPr>
      </w:pPr>
      <w:r>
        <w:rPr>
          <w:rFonts w:ascii="Traditional Arabic" w:hAnsi="Traditional Arabic" w:cs="Traditional Arabic" w:hint="cs"/>
          <w:sz w:val="40"/>
          <w:szCs w:val="40"/>
          <w:rtl/>
        </w:rPr>
        <w:t>3-</w:t>
      </w:r>
      <w:r w:rsidR="00950D2F" w:rsidRPr="00C406BC">
        <w:rPr>
          <w:rFonts w:ascii="Traditional Arabic" w:hAnsi="Traditional Arabic" w:cs="Traditional Arabic"/>
          <w:sz w:val="40"/>
          <w:szCs w:val="40"/>
          <w:rtl/>
        </w:rPr>
        <w:t>ما هو التأثير العام للتقادم على الحكم في القضايا التجارية</w:t>
      </w:r>
      <w:r>
        <w:rPr>
          <w:rFonts w:ascii="Traditional Arabic" w:hAnsi="Traditional Arabic" w:cs="Traditional Arabic" w:hint="cs"/>
          <w:sz w:val="40"/>
          <w:szCs w:val="40"/>
          <w:rtl/>
        </w:rPr>
        <w:t>،</w:t>
      </w:r>
      <w:r w:rsidR="00950D2F" w:rsidRPr="00C406BC">
        <w:rPr>
          <w:rFonts w:ascii="Traditional Arabic" w:hAnsi="Traditional Arabic" w:cs="Traditional Arabic"/>
          <w:sz w:val="40"/>
          <w:szCs w:val="40"/>
          <w:rtl/>
        </w:rPr>
        <w:t xml:space="preserve"> وسقوط الحكم؟</w:t>
      </w:r>
    </w:p>
    <w:p w14:paraId="49687FF4" w14:textId="0264B5EF" w:rsidR="009D7EA9" w:rsidRDefault="009D7EA9" w:rsidP="009D7EA9">
      <w:pPr>
        <w:spacing w:after="240" w:line="360" w:lineRule="auto"/>
        <w:rPr>
          <w:rFonts w:ascii="Traditional Arabic" w:hAnsi="Traditional Arabic" w:cs="Traditional Arabic"/>
          <w:sz w:val="40"/>
          <w:szCs w:val="40"/>
          <w:rtl/>
        </w:rPr>
      </w:pPr>
      <w:r>
        <w:rPr>
          <w:rFonts w:ascii="Traditional Arabic" w:hAnsi="Traditional Arabic" w:cs="Traditional Arabic" w:hint="cs"/>
          <w:sz w:val="40"/>
          <w:szCs w:val="40"/>
          <w:rtl/>
        </w:rPr>
        <w:t>4-</w:t>
      </w:r>
      <w:r w:rsidR="00950D2F" w:rsidRPr="00C406BC">
        <w:rPr>
          <w:rFonts w:ascii="Traditional Arabic" w:hAnsi="Traditional Arabic" w:cs="Traditional Arabic"/>
          <w:sz w:val="40"/>
          <w:szCs w:val="40"/>
          <w:rtl/>
        </w:rPr>
        <w:t xml:space="preserve">ما هي الاستثناءات الموجودة في مدونة التجارة السعودية لقواعد التقادم؟ </w:t>
      </w:r>
    </w:p>
    <w:p w14:paraId="011146CE" w14:textId="24708FA3" w:rsidR="00286DB0" w:rsidRPr="009D7EA9" w:rsidRDefault="009D7EA9" w:rsidP="0008446F">
      <w:pPr>
        <w:spacing w:after="240" w:line="360" w:lineRule="auto"/>
        <w:rPr>
          <w:rFonts w:ascii="Traditional Arabic" w:hAnsi="Traditional Arabic" w:cs="Traditional Arabic"/>
          <w:sz w:val="40"/>
          <w:szCs w:val="40"/>
          <w:rtl/>
        </w:rPr>
      </w:pPr>
      <w:r>
        <w:rPr>
          <w:rFonts w:ascii="Traditional Arabic" w:hAnsi="Traditional Arabic" w:cs="Traditional Arabic" w:hint="cs"/>
          <w:sz w:val="40"/>
          <w:szCs w:val="40"/>
          <w:rtl/>
        </w:rPr>
        <w:t>5-ك</w:t>
      </w:r>
      <w:r w:rsidR="00950D2F" w:rsidRPr="00C406BC">
        <w:rPr>
          <w:rFonts w:ascii="Traditional Arabic" w:hAnsi="Traditional Arabic" w:cs="Traditional Arabic"/>
          <w:sz w:val="40"/>
          <w:szCs w:val="40"/>
          <w:rtl/>
        </w:rPr>
        <w:t xml:space="preserve">يف تؤثر الاستثناءات </w:t>
      </w:r>
      <w:r w:rsidRPr="00C406BC">
        <w:rPr>
          <w:rFonts w:ascii="Traditional Arabic" w:hAnsi="Traditional Arabic" w:cs="Traditional Arabic"/>
          <w:sz w:val="40"/>
          <w:szCs w:val="40"/>
          <w:rtl/>
        </w:rPr>
        <w:t xml:space="preserve">الموجودة في مدونة التجارة السعودية </w:t>
      </w:r>
      <w:r w:rsidR="00950D2F" w:rsidRPr="00C406BC">
        <w:rPr>
          <w:rFonts w:ascii="Traditional Arabic" w:hAnsi="Traditional Arabic" w:cs="Traditional Arabic"/>
          <w:sz w:val="40"/>
          <w:szCs w:val="40"/>
          <w:rtl/>
        </w:rPr>
        <w:t xml:space="preserve">على </w:t>
      </w:r>
      <w:r>
        <w:rPr>
          <w:rFonts w:ascii="Traditional Arabic" w:hAnsi="Traditional Arabic" w:cs="Traditional Arabic" w:hint="cs"/>
          <w:sz w:val="40"/>
          <w:szCs w:val="40"/>
          <w:rtl/>
        </w:rPr>
        <w:t>إنفاذ</w:t>
      </w:r>
      <w:r w:rsidR="00950D2F" w:rsidRPr="00C406BC">
        <w:rPr>
          <w:rFonts w:ascii="Traditional Arabic" w:hAnsi="Traditional Arabic" w:cs="Traditional Arabic"/>
          <w:sz w:val="40"/>
          <w:szCs w:val="40"/>
          <w:rtl/>
        </w:rPr>
        <w:t xml:space="preserve"> العدالة في القضايا التجارية؟</w:t>
      </w:r>
    </w:p>
    <w:p w14:paraId="4A841969" w14:textId="77777777" w:rsidR="005261EC" w:rsidRPr="00C406BC" w:rsidRDefault="005261EC" w:rsidP="00C406BC">
      <w:pPr>
        <w:spacing w:after="240" w:line="360" w:lineRule="auto"/>
        <w:rPr>
          <w:rFonts w:ascii="Traditional Arabic" w:hAnsi="Traditional Arabic" w:cs="Traditional Arabic"/>
          <w:sz w:val="40"/>
          <w:szCs w:val="40"/>
          <w:rtl/>
        </w:rPr>
      </w:pPr>
      <w:bookmarkStart w:id="6" w:name="_Toc168891642"/>
      <w:r w:rsidRPr="00C406BC">
        <w:rPr>
          <w:rStyle w:val="1Char"/>
          <w:rFonts w:ascii="Traditional Arabic" w:hAnsi="Traditional Arabic" w:cs="Traditional Arabic"/>
          <w:b/>
          <w:bCs/>
          <w:color w:val="auto"/>
          <w:sz w:val="40"/>
          <w:szCs w:val="40"/>
          <w:rtl/>
        </w:rPr>
        <w:t>منهج البحث</w:t>
      </w:r>
      <w:bookmarkEnd w:id="6"/>
      <w:r w:rsidRPr="00C406BC">
        <w:rPr>
          <w:rFonts w:ascii="Traditional Arabic" w:hAnsi="Traditional Arabic" w:cs="Traditional Arabic"/>
          <w:sz w:val="40"/>
          <w:szCs w:val="40"/>
          <w:rtl/>
        </w:rPr>
        <w:t>:</w:t>
      </w:r>
    </w:p>
    <w:p w14:paraId="6CBD22F8" w14:textId="0D432F0B" w:rsidR="00286DB0" w:rsidRPr="00C406BC" w:rsidRDefault="005261EC" w:rsidP="00C406BC">
      <w:pPr>
        <w:spacing w:after="240" w:line="360" w:lineRule="auto"/>
        <w:ind w:firstLine="720"/>
        <w:rPr>
          <w:rFonts w:ascii="Traditional Arabic" w:hAnsi="Traditional Arabic" w:cs="Traditional Arabic"/>
          <w:sz w:val="40"/>
          <w:szCs w:val="40"/>
          <w:rtl/>
        </w:rPr>
      </w:pPr>
      <w:r w:rsidRPr="00C406BC">
        <w:rPr>
          <w:rFonts w:ascii="Traditional Arabic" w:hAnsi="Traditional Arabic" w:cs="Traditional Arabic"/>
          <w:sz w:val="40"/>
          <w:szCs w:val="40"/>
          <w:rtl/>
        </w:rPr>
        <w:t>سوف يتبع الباحث لتحقيق أهداف هذا البحث المنهج الوصفي</w:t>
      </w:r>
      <w:r w:rsidR="0008446F">
        <w:rPr>
          <w:rFonts w:ascii="Traditional Arabic" w:hAnsi="Traditional Arabic" w:cs="Traditional Arabic" w:hint="cs"/>
          <w:sz w:val="40"/>
          <w:szCs w:val="40"/>
          <w:rtl/>
        </w:rPr>
        <w:t>،</w:t>
      </w:r>
      <w:r w:rsidRPr="00C406BC">
        <w:rPr>
          <w:rFonts w:ascii="Traditional Arabic" w:hAnsi="Traditional Arabic" w:cs="Traditional Arabic"/>
          <w:sz w:val="40"/>
          <w:szCs w:val="40"/>
          <w:rtl/>
        </w:rPr>
        <w:t xml:space="preserve"> والاستقرائي. </w:t>
      </w:r>
    </w:p>
    <w:p w14:paraId="0F7F92DA" w14:textId="77777777" w:rsidR="00C406BC" w:rsidRPr="00C406BC" w:rsidRDefault="00C406BC" w:rsidP="00C406BC">
      <w:pPr>
        <w:spacing w:after="240" w:line="360" w:lineRule="auto"/>
        <w:ind w:firstLine="720"/>
        <w:rPr>
          <w:rFonts w:ascii="Traditional Arabic" w:hAnsi="Traditional Arabic" w:cs="Traditional Arabic"/>
          <w:sz w:val="40"/>
          <w:szCs w:val="40"/>
          <w:rtl/>
        </w:rPr>
      </w:pPr>
    </w:p>
    <w:p w14:paraId="2C316C1F" w14:textId="77777777" w:rsidR="00C406BC" w:rsidRPr="00C406BC" w:rsidRDefault="00C406BC" w:rsidP="00C406BC">
      <w:pPr>
        <w:spacing w:after="240" w:line="360" w:lineRule="auto"/>
        <w:ind w:firstLine="720"/>
        <w:rPr>
          <w:rFonts w:ascii="Traditional Arabic" w:hAnsi="Traditional Arabic" w:cs="Traditional Arabic"/>
          <w:sz w:val="40"/>
          <w:szCs w:val="40"/>
          <w:rtl/>
        </w:rPr>
      </w:pPr>
    </w:p>
    <w:p w14:paraId="7F0D9A34" w14:textId="77777777" w:rsidR="00C406BC" w:rsidRPr="00C406BC" w:rsidRDefault="00C406BC" w:rsidP="00C406BC">
      <w:pPr>
        <w:spacing w:after="240" w:line="360" w:lineRule="auto"/>
        <w:ind w:firstLine="720"/>
        <w:rPr>
          <w:rFonts w:ascii="Traditional Arabic" w:hAnsi="Traditional Arabic" w:cs="Traditional Arabic"/>
          <w:sz w:val="40"/>
          <w:szCs w:val="40"/>
          <w:rtl/>
        </w:rPr>
      </w:pPr>
    </w:p>
    <w:p w14:paraId="47E1BEE4" w14:textId="77777777" w:rsidR="00C406BC" w:rsidRPr="00C406BC" w:rsidRDefault="00C406BC" w:rsidP="00C406BC">
      <w:pPr>
        <w:spacing w:after="240" w:line="360" w:lineRule="auto"/>
        <w:ind w:firstLine="720"/>
        <w:rPr>
          <w:rFonts w:ascii="Traditional Arabic" w:hAnsi="Traditional Arabic" w:cs="Traditional Arabic"/>
          <w:sz w:val="40"/>
          <w:szCs w:val="40"/>
          <w:rtl/>
        </w:rPr>
      </w:pPr>
    </w:p>
    <w:p w14:paraId="5FE56DFA" w14:textId="77777777" w:rsidR="005261EC" w:rsidRPr="00C406BC" w:rsidRDefault="005261EC" w:rsidP="00C406BC">
      <w:pPr>
        <w:spacing w:after="240" w:line="360" w:lineRule="auto"/>
        <w:rPr>
          <w:rFonts w:ascii="Traditional Arabic" w:hAnsi="Traditional Arabic" w:cs="Traditional Arabic"/>
          <w:sz w:val="40"/>
          <w:szCs w:val="40"/>
          <w:rtl/>
        </w:rPr>
      </w:pPr>
      <w:bookmarkStart w:id="7" w:name="_Toc168891643"/>
      <w:r w:rsidRPr="00C406BC">
        <w:rPr>
          <w:rStyle w:val="1Char"/>
          <w:rFonts w:ascii="Traditional Arabic" w:hAnsi="Traditional Arabic" w:cs="Traditional Arabic"/>
          <w:b/>
          <w:bCs/>
          <w:color w:val="auto"/>
          <w:sz w:val="40"/>
          <w:szCs w:val="40"/>
          <w:rtl/>
        </w:rPr>
        <w:t>هيكل البحث</w:t>
      </w:r>
      <w:bookmarkEnd w:id="7"/>
      <w:r w:rsidRPr="00C406BC">
        <w:rPr>
          <w:rFonts w:ascii="Traditional Arabic" w:hAnsi="Traditional Arabic" w:cs="Traditional Arabic"/>
          <w:sz w:val="40"/>
          <w:szCs w:val="40"/>
          <w:rtl/>
        </w:rPr>
        <w:t>:</w:t>
      </w:r>
    </w:p>
    <w:p w14:paraId="7FB90BF9" w14:textId="227C7B8B" w:rsidR="005261EC" w:rsidRPr="00C406BC" w:rsidRDefault="005261EC" w:rsidP="00C406BC">
      <w:pPr>
        <w:spacing w:after="240" w:line="360" w:lineRule="auto"/>
        <w:ind w:firstLine="720"/>
        <w:rPr>
          <w:rFonts w:ascii="Traditional Arabic" w:hAnsi="Traditional Arabic" w:cs="Traditional Arabic"/>
          <w:sz w:val="40"/>
          <w:szCs w:val="40"/>
          <w:rtl/>
        </w:rPr>
      </w:pPr>
      <w:r w:rsidRPr="00C406BC">
        <w:rPr>
          <w:rFonts w:ascii="Traditional Arabic" w:hAnsi="Traditional Arabic" w:cs="Traditional Arabic"/>
          <w:sz w:val="40"/>
          <w:szCs w:val="40"/>
          <w:rtl/>
        </w:rPr>
        <w:t>سوف يقوم الباحث بتقسيم هذا البحث لمقدمة</w:t>
      </w:r>
      <w:r w:rsidR="0008446F">
        <w:rPr>
          <w:rFonts w:ascii="Traditional Arabic" w:hAnsi="Traditional Arabic" w:cs="Traditional Arabic" w:hint="cs"/>
          <w:sz w:val="40"/>
          <w:szCs w:val="40"/>
          <w:rtl/>
        </w:rPr>
        <w:t>،</w:t>
      </w:r>
      <w:r w:rsidRPr="00C406BC">
        <w:rPr>
          <w:rFonts w:ascii="Traditional Arabic" w:hAnsi="Traditional Arabic" w:cs="Traditional Arabic"/>
          <w:sz w:val="40"/>
          <w:szCs w:val="40"/>
          <w:rtl/>
        </w:rPr>
        <w:t xml:space="preserve"> وثلاثة مباحث يشتمل كل مبحث على ثلاثة مطالب</w:t>
      </w:r>
      <w:r w:rsidR="00274B52">
        <w:rPr>
          <w:rFonts w:ascii="Traditional Arabic" w:hAnsi="Traditional Arabic" w:cs="Traditional Arabic" w:hint="cs"/>
          <w:sz w:val="40"/>
          <w:szCs w:val="40"/>
          <w:rtl/>
        </w:rPr>
        <w:t>،</w:t>
      </w:r>
      <w:r w:rsidRPr="00C406BC">
        <w:rPr>
          <w:rFonts w:ascii="Traditional Arabic" w:hAnsi="Traditional Arabic" w:cs="Traditional Arabic"/>
          <w:sz w:val="40"/>
          <w:szCs w:val="40"/>
          <w:rtl/>
        </w:rPr>
        <w:t xml:space="preserve"> مع خاتمة في نهاية البحث</w:t>
      </w:r>
      <w:r w:rsidR="00274B52">
        <w:rPr>
          <w:rFonts w:ascii="Traditional Arabic" w:hAnsi="Traditional Arabic" w:cs="Traditional Arabic" w:hint="cs"/>
          <w:sz w:val="40"/>
          <w:szCs w:val="40"/>
          <w:rtl/>
        </w:rPr>
        <w:t>،</w:t>
      </w:r>
      <w:r w:rsidRPr="00C406BC">
        <w:rPr>
          <w:rFonts w:ascii="Traditional Arabic" w:hAnsi="Traditional Arabic" w:cs="Traditional Arabic"/>
          <w:sz w:val="40"/>
          <w:szCs w:val="40"/>
          <w:rtl/>
        </w:rPr>
        <w:t xml:space="preserve"> وذلك على النحو الآتي:</w:t>
      </w:r>
    </w:p>
    <w:p w14:paraId="790D4ED5" w14:textId="701EF544" w:rsidR="005261EC" w:rsidRPr="00274B52" w:rsidRDefault="005261EC" w:rsidP="00C406BC">
      <w:pPr>
        <w:spacing w:after="240" w:line="360" w:lineRule="auto"/>
        <w:ind w:firstLine="720"/>
        <w:rPr>
          <w:rFonts w:ascii="Traditional Arabic" w:hAnsi="Traditional Arabic" w:cs="Traditional Arabic"/>
          <w:b/>
          <w:bCs/>
          <w:sz w:val="40"/>
          <w:szCs w:val="40"/>
          <w:rtl/>
        </w:rPr>
      </w:pPr>
      <w:r w:rsidRPr="00274B52">
        <w:rPr>
          <w:rFonts w:ascii="Traditional Arabic" w:hAnsi="Traditional Arabic" w:cs="Traditional Arabic"/>
          <w:b/>
          <w:bCs/>
          <w:sz w:val="40"/>
          <w:szCs w:val="40"/>
          <w:rtl/>
        </w:rPr>
        <w:t>المبحث الأول:</w:t>
      </w:r>
      <w:r w:rsidR="00050396" w:rsidRPr="00274B52">
        <w:rPr>
          <w:rFonts w:ascii="Traditional Arabic" w:hAnsi="Traditional Arabic" w:cs="Traditional Arabic"/>
          <w:b/>
          <w:bCs/>
          <w:sz w:val="40"/>
          <w:szCs w:val="40"/>
          <w:rtl/>
        </w:rPr>
        <w:t xml:space="preserve"> التقادم </w:t>
      </w:r>
      <w:r w:rsidR="00274B52" w:rsidRPr="00274B52">
        <w:rPr>
          <w:rFonts w:ascii="Traditional Arabic" w:hAnsi="Traditional Arabic" w:cs="Traditional Arabic" w:hint="cs"/>
          <w:b/>
          <w:bCs/>
          <w:sz w:val="40"/>
          <w:szCs w:val="40"/>
          <w:rtl/>
        </w:rPr>
        <w:t>وأثره</w:t>
      </w:r>
      <w:r w:rsidR="00050396" w:rsidRPr="00274B52">
        <w:rPr>
          <w:rFonts w:ascii="Traditional Arabic" w:hAnsi="Traditional Arabic" w:cs="Traditional Arabic"/>
          <w:b/>
          <w:bCs/>
          <w:sz w:val="40"/>
          <w:szCs w:val="40"/>
          <w:rtl/>
        </w:rPr>
        <w:t xml:space="preserve"> في سقوط الحكم</w:t>
      </w:r>
      <w:r w:rsidR="00274B52" w:rsidRPr="00274B52">
        <w:rPr>
          <w:rFonts w:ascii="Traditional Arabic" w:hAnsi="Traditional Arabic" w:cs="Traditional Arabic" w:hint="cs"/>
          <w:b/>
          <w:bCs/>
          <w:sz w:val="40"/>
          <w:szCs w:val="40"/>
          <w:rtl/>
        </w:rPr>
        <w:t>:</w:t>
      </w:r>
    </w:p>
    <w:p w14:paraId="0E96397E" w14:textId="4A90EE4B" w:rsidR="005261EC" w:rsidRPr="00C406BC" w:rsidRDefault="005261EC" w:rsidP="00C406BC">
      <w:pPr>
        <w:spacing w:after="240" w:line="360" w:lineRule="auto"/>
        <w:ind w:firstLine="720"/>
        <w:rPr>
          <w:rFonts w:ascii="Traditional Arabic" w:hAnsi="Traditional Arabic" w:cs="Traditional Arabic"/>
          <w:sz w:val="40"/>
          <w:szCs w:val="40"/>
          <w:rtl/>
        </w:rPr>
      </w:pPr>
      <w:r w:rsidRPr="00C406BC">
        <w:rPr>
          <w:rFonts w:ascii="Traditional Arabic" w:hAnsi="Traditional Arabic" w:cs="Traditional Arabic"/>
          <w:sz w:val="40"/>
          <w:szCs w:val="40"/>
          <w:rtl/>
        </w:rPr>
        <w:t>المطلب الأول</w:t>
      </w:r>
      <w:r w:rsidR="00050396" w:rsidRPr="00C406BC">
        <w:rPr>
          <w:rFonts w:ascii="Traditional Arabic" w:hAnsi="Traditional Arabic" w:cs="Traditional Arabic"/>
          <w:sz w:val="40"/>
          <w:szCs w:val="40"/>
          <w:rtl/>
        </w:rPr>
        <w:t>: تعريف التقادم</w:t>
      </w:r>
      <w:r w:rsidR="00274B52">
        <w:rPr>
          <w:rFonts w:ascii="Traditional Arabic" w:hAnsi="Traditional Arabic" w:cs="Traditional Arabic" w:hint="cs"/>
          <w:sz w:val="40"/>
          <w:szCs w:val="40"/>
          <w:rtl/>
        </w:rPr>
        <w:t>،</w:t>
      </w:r>
      <w:r w:rsidR="00050396" w:rsidRPr="00C406BC">
        <w:rPr>
          <w:rFonts w:ascii="Traditional Arabic" w:hAnsi="Traditional Arabic" w:cs="Traditional Arabic"/>
          <w:sz w:val="40"/>
          <w:szCs w:val="40"/>
          <w:rtl/>
        </w:rPr>
        <w:t xml:space="preserve"> وبيان </w:t>
      </w:r>
      <w:r w:rsidR="00CD1AFC">
        <w:rPr>
          <w:rFonts w:ascii="Traditional Arabic" w:hAnsi="Traditional Arabic" w:cs="Traditional Arabic" w:hint="cs"/>
          <w:sz w:val="40"/>
          <w:szCs w:val="40"/>
          <w:rtl/>
        </w:rPr>
        <w:t>أ</w:t>
      </w:r>
      <w:r w:rsidR="00050396" w:rsidRPr="00C406BC">
        <w:rPr>
          <w:rFonts w:ascii="Traditional Arabic" w:hAnsi="Traditional Arabic" w:cs="Traditional Arabic"/>
          <w:sz w:val="40"/>
          <w:szCs w:val="40"/>
          <w:rtl/>
        </w:rPr>
        <w:t>نو</w:t>
      </w:r>
      <w:r w:rsidR="00CD1AFC">
        <w:rPr>
          <w:rFonts w:ascii="Traditional Arabic" w:hAnsi="Traditional Arabic" w:cs="Traditional Arabic" w:hint="cs"/>
          <w:sz w:val="40"/>
          <w:szCs w:val="40"/>
          <w:rtl/>
        </w:rPr>
        <w:t>ا</w:t>
      </w:r>
      <w:r w:rsidR="00050396" w:rsidRPr="00C406BC">
        <w:rPr>
          <w:rFonts w:ascii="Traditional Arabic" w:hAnsi="Traditional Arabic" w:cs="Traditional Arabic"/>
          <w:sz w:val="40"/>
          <w:szCs w:val="40"/>
          <w:rtl/>
        </w:rPr>
        <w:t>عه</w:t>
      </w:r>
      <w:r w:rsidR="00274B52">
        <w:rPr>
          <w:rFonts w:ascii="Traditional Arabic" w:hAnsi="Traditional Arabic" w:cs="Traditional Arabic" w:hint="cs"/>
          <w:sz w:val="40"/>
          <w:szCs w:val="40"/>
          <w:rtl/>
        </w:rPr>
        <w:t>.</w:t>
      </w:r>
    </w:p>
    <w:p w14:paraId="342850D8" w14:textId="4E5EA1C2" w:rsidR="005261EC" w:rsidRPr="00C406BC" w:rsidRDefault="005261EC" w:rsidP="00C406BC">
      <w:pPr>
        <w:spacing w:after="240" w:line="360" w:lineRule="auto"/>
        <w:ind w:firstLine="720"/>
        <w:rPr>
          <w:rFonts w:ascii="Traditional Arabic" w:hAnsi="Traditional Arabic" w:cs="Traditional Arabic"/>
          <w:sz w:val="40"/>
          <w:szCs w:val="40"/>
          <w:rtl/>
        </w:rPr>
      </w:pPr>
      <w:r w:rsidRPr="00C406BC">
        <w:rPr>
          <w:rFonts w:ascii="Traditional Arabic" w:hAnsi="Traditional Arabic" w:cs="Traditional Arabic"/>
          <w:sz w:val="40"/>
          <w:szCs w:val="40"/>
          <w:rtl/>
        </w:rPr>
        <w:t>المطلب الثاني</w:t>
      </w:r>
      <w:r w:rsidR="00050396" w:rsidRPr="00C406BC">
        <w:rPr>
          <w:rFonts w:ascii="Traditional Arabic" w:hAnsi="Traditional Arabic" w:cs="Traditional Arabic"/>
          <w:sz w:val="40"/>
          <w:szCs w:val="40"/>
          <w:rtl/>
        </w:rPr>
        <w:t xml:space="preserve">: </w:t>
      </w:r>
      <w:r w:rsidR="00274B52">
        <w:rPr>
          <w:rFonts w:ascii="Traditional Arabic" w:hAnsi="Traditional Arabic" w:cs="Traditional Arabic" w:hint="cs"/>
          <w:sz w:val="40"/>
          <w:szCs w:val="40"/>
          <w:rtl/>
        </w:rPr>
        <w:t>علاقة التقادم بالنظام العام.</w:t>
      </w:r>
    </w:p>
    <w:p w14:paraId="09B23F8B" w14:textId="4E347AFA" w:rsidR="005261EC" w:rsidRPr="00C406BC" w:rsidRDefault="005261EC" w:rsidP="00C406BC">
      <w:pPr>
        <w:spacing w:after="240" w:line="360" w:lineRule="auto"/>
        <w:ind w:firstLine="720"/>
        <w:rPr>
          <w:rFonts w:ascii="Traditional Arabic" w:hAnsi="Traditional Arabic" w:cs="Traditional Arabic"/>
          <w:sz w:val="40"/>
          <w:szCs w:val="40"/>
          <w:rtl/>
        </w:rPr>
      </w:pPr>
      <w:r w:rsidRPr="00C406BC">
        <w:rPr>
          <w:rFonts w:ascii="Traditional Arabic" w:hAnsi="Traditional Arabic" w:cs="Traditional Arabic"/>
          <w:sz w:val="40"/>
          <w:szCs w:val="40"/>
          <w:rtl/>
        </w:rPr>
        <w:t>المطلب الثالث</w:t>
      </w:r>
      <w:r w:rsidR="00050396" w:rsidRPr="00C406BC">
        <w:rPr>
          <w:rFonts w:ascii="Traditional Arabic" w:hAnsi="Traditional Arabic" w:cs="Traditional Arabic"/>
          <w:sz w:val="40"/>
          <w:szCs w:val="40"/>
          <w:rtl/>
        </w:rPr>
        <w:t>: ال</w:t>
      </w:r>
      <w:r w:rsidR="00274B52">
        <w:rPr>
          <w:rFonts w:ascii="Traditional Arabic" w:hAnsi="Traditional Arabic" w:cs="Traditional Arabic" w:hint="cs"/>
          <w:sz w:val="40"/>
          <w:szCs w:val="40"/>
          <w:rtl/>
        </w:rPr>
        <w:t>أ</w:t>
      </w:r>
      <w:r w:rsidR="00050396" w:rsidRPr="00C406BC">
        <w:rPr>
          <w:rFonts w:ascii="Traditional Arabic" w:hAnsi="Traditional Arabic" w:cs="Traditional Arabic"/>
          <w:sz w:val="40"/>
          <w:szCs w:val="40"/>
          <w:rtl/>
        </w:rPr>
        <w:t>ساس الشرعي للتقادم</w:t>
      </w:r>
      <w:r w:rsidR="00274B52">
        <w:rPr>
          <w:rFonts w:ascii="Traditional Arabic" w:hAnsi="Traditional Arabic" w:cs="Traditional Arabic" w:hint="cs"/>
          <w:sz w:val="40"/>
          <w:szCs w:val="40"/>
          <w:rtl/>
        </w:rPr>
        <w:t>،</w:t>
      </w:r>
      <w:r w:rsidR="00050396" w:rsidRPr="00C406BC">
        <w:rPr>
          <w:rFonts w:ascii="Traditional Arabic" w:hAnsi="Traditional Arabic" w:cs="Traditional Arabic"/>
          <w:sz w:val="40"/>
          <w:szCs w:val="40"/>
          <w:rtl/>
        </w:rPr>
        <w:t xml:space="preserve"> ومدته</w:t>
      </w:r>
      <w:r w:rsidR="00274B52">
        <w:rPr>
          <w:rFonts w:ascii="Traditional Arabic" w:hAnsi="Traditional Arabic" w:cs="Traditional Arabic" w:hint="cs"/>
          <w:sz w:val="40"/>
          <w:szCs w:val="40"/>
          <w:rtl/>
        </w:rPr>
        <w:t>.</w:t>
      </w:r>
    </w:p>
    <w:p w14:paraId="163C7F81" w14:textId="76AFB80B" w:rsidR="005261EC" w:rsidRPr="00274B52" w:rsidRDefault="005261EC" w:rsidP="00C406BC">
      <w:pPr>
        <w:spacing w:after="240" w:line="360" w:lineRule="auto"/>
        <w:ind w:firstLine="720"/>
        <w:rPr>
          <w:rFonts w:ascii="Traditional Arabic" w:hAnsi="Traditional Arabic" w:cs="Traditional Arabic"/>
          <w:b/>
          <w:bCs/>
          <w:sz w:val="40"/>
          <w:szCs w:val="40"/>
        </w:rPr>
      </w:pPr>
      <w:r w:rsidRPr="00274B52">
        <w:rPr>
          <w:rFonts w:ascii="Traditional Arabic" w:hAnsi="Traditional Arabic" w:cs="Traditional Arabic"/>
          <w:b/>
          <w:bCs/>
          <w:sz w:val="40"/>
          <w:szCs w:val="40"/>
          <w:rtl/>
        </w:rPr>
        <w:t>المبحث الثاني</w:t>
      </w:r>
      <w:r w:rsidR="00050396" w:rsidRPr="00274B52">
        <w:rPr>
          <w:rFonts w:ascii="Traditional Arabic" w:hAnsi="Traditional Arabic" w:cs="Traditional Arabic"/>
          <w:b/>
          <w:bCs/>
          <w:sz w:val="40"/>
          <w:szCs w:val="40"/>
          <w:rtl/>
        </w:rPr>
        <w:t>: التقادم في نظام المحاكم التجارية السعودية</w:t>
      </w:r>
      <w:r w:rsidR="00274B52">
        <w:rPr>
          <w:rFonts w:ascii="Traditional Arabic" w:hAnsi="Traditional Arabic" w:cs="Traditional Arabic" w:hint="cs"/>
          <w:b/>
          <w:bCs/>
          <w:sz w:val="40"/>
          <w:szCs w:val="40"/>
          <w:rtl/>
        </w:rPr>
        <w:t>:</w:t>
      </w:r>
    </w:p>
    <w:p w14:paraId="29F440B2" w14:textId="59178755" w:rsidR="005261EC" w:rsidRPr="00C406BC" w:rsidRDefault="005261EC" w:rsidP="00C406BC">
      <w:pPr>
        <w:spacing w:after="240" w:line="360" w:lineRule="auto"/>
        <w:ind w:firstLine="720"/>
        <w:rPr>
          <w:rFonts w:ascii="Traditional Arabic" w:hAnsi="Traditional Arabic" w:cs="Traditional Arabic"/>
          <w:sz w:val="40"/>
          <w:szCs w:val="40"/>
          <w:rtl/>
          <w:lang w:bidi="ar-EG"/>
        </w:rPr>
      </w:pPr>
      <w:r w:rsidRPr="00C406BC">
        <w:rPr>
          <w:rFonts w:ascii="Traditional Arabic" w:hAnsi="Traditional Arabic" w:cs="Traditional Arabic"/>
          <w:sz w:val="40"/>
          <w:szCs w:val="40"/>
          <w:rtl/>
        </w:rPr>
        <w:t>المطلب الأول</w:t>
      </w:r>
      <w:r w:rsidR="00050396" w:rsidRPr="00C406BC">
        <w:rPr>
          <w:rFonts w:ascii="Traditional Arabic" w:hAnsi="Traditional Arabic" w:cs="Traditional Arabic"/>
          <w:sz w:val="40"/>
          <w:szCs w:val="40"/>
        </w:rPr>
        <w:t>:</w:t>
      </w:r>
      <w:r w:rsidR="00050396" w:rsidRPr="00C406BC">
        <w:rPr>
          <w:rFonts w:ascii="Traditional Arabic" w:hAnsi="Traditional Arabic" w:cs="Traditional Arabic"/>
          <w:sz w:val="40"/>
          <w:szCs w:val="40"/>
          <w:rtl/>
          <w:lang w:bidi="ar-EG"/>
        </w:rPr>
        <w:t xml:space="preserve"> المبدأ العام للتقادم في العقود التجارية</w:t>
      </w:r>
      <w:r w:rsidR="00274B52">
        <w:rPr>
          <w:rFonts w:ascii="Traditional Arabic" w:hAnsi="Traditional Arabic" w:cs="Traditional Arabic" w:hint="cs"/>
          <w:sz w:val="40"/>
          <w:szCs w:val="40"/>
          <w:rtl/>
          <w:lang w:bidi="ar-EG"/>
        </w:rPr>
        <w:t>.</w:t>
      </w:r>
      <w:r w:rsidR="00050396" w:rsidRPr="00C406BC">
        <w:rPr>
          <w:rFonts w:ascii="Traditional Arabic" w:hAnsi="Traditional Arabic" w:cs="Traditional Arabic"/>
          <w:sz w:val="40"/>
          <w:szCs w:val="40"/>
          <w:rtl/>
          <w:lang w:bidi="ar-EG"/>
        </w:rPr>
        <w:t xml:space="preserve"> </w:t>
      </w:r>
    </w:p>
    <w:p w14:paraId="1A62B56C" w14:textId="5569DB86" w:rsidR="005261EC" w:rsidRPr="00C406BC" w:rsidRDefault="005261EC" w:rsidP="00C406BC">
      <w:pPr>
        <w:spacing w:after="240" w:line="360" w:lineRule="auto"/>
        <w:ind w:firstLine="720"/>
        <w:rPr>
          <w:rFonts w:ascii="Traditional Arabic" w:hAnsi="Traditional Arabic" w:cs="Traditional Arabic"/>
          <w:sz w:val="40"/>
          <w:szCs w:val="40"/>
          <w:rtl/>
        </w:rPr>
      </w:pPr>
      <w:r w:rsidRPr="00C406BC">
        <w:rPr>
          <w:rFonts w:ascii="Traditional Arabic" w:hAnsi="Traditional Arabic" w:cs="Traditional Arabic"/>
          <w:sz w:val="40"/>
          <w:szCs w:val="40"/>
          <w:rtl/>
        </w:rPr>
        <w:t xml:space="preserve">المطلب </w:t>
      </w:r>
      <w:r w:rsidR="00274B52" w:rsidRPr="00C406BC">
        <w:rPr>
          <w:rFonts w:ascii="Traditional Arabic" w:hAnsi="Traditional Arabic" w:cs="Traditional Arabic" w:hint="cs"/>
          <w:sz w:val="40"/>
          <w:szCs w:val="40"/>
          <w:rtl/>
        </w:rPr>
        <w:t>الثان</w:t>
      </w:r>
      <w:r w:rsidR="00274B52">
        <w:rPr>
          <w:rFonts w:ascii="Traditional Arabic" w:hAnsi="Traditional Arabic" w:cs="Traditional Arabic" w:hint="cs"/>
          <w:sz w:val="40"/>
          <w:szCs w:val="40"/>
          <w:rtl/>
        </w:rPr>
        <w:t>ي</w:t>
      </w:r>
      <w:r w:rsidR="00274B52" w:rsidRPr="00C406BC">
        <w:rPr>
          <w:rFonts w:ascii="Traditional Arabic" w:hAnsi="Traditional Arabic" w:cs="Traditional Arabic" w:hint="cs"/>
          <w:sz w:val="40"/>
          <w:szCs w:val="40"/>
          <w:rtl/>
        </w:rPr>
        <w:t>: الاستثناءات</w:t>
      </w:r>
      <w:r w:rsidR="00050396" w:rsidRPr="00C406BC">
        <w:rPr>
          <w:rFonts w:ascii="Traditional Arabic" w:hAnsi="Traditional Arabic" w:cs="Traditional Arabic"/>
          <w:sz w:val="40"/>
          <w:szCs w:val="40"/>
          <w:rtl/>
        </w:rPr>
        <w:t xml:space="preserve"> الواردة على المبدأ العام في مدونة التجارة</w:t>
      </w:r>
      <w:r w:rsidR="00274B52">
        <w:rPr>
          <w:rFonts w:ascii="Traditional Arabic" w:hAnsi="Traditional Arabic" w:cs="Traditional Arabic" w:hint="cs"/>
          <w:sz w:val="40"/>
          <w:szCs w:val="40"/>
          <w:rtl/>
        </w:rPr>
        <w:t>.</w:t>
      </w:r>
    </w:p>
    <w:p w14:paraId="57D6B205" w14:textId="54978F86" w:rsidR="005261EC" w:rsidRPr="00C406BC" w:rsidRDefault="005261EC" w:rsidP="00C406BC">
      <w:pPr>
        <w:spacing w:after="240" w:line="360" w:lineRule="auto"/>
        <w:ind w:firstLine="720"/>
        <w:rPr>
          <w:rFonts w:ascii="Traditional Arabic" w:hAnsi="Traditional Arabic" w:cs="Traditional Arabic"/>
          <w:sz w:val="40"/>
          <w:szCs w:val="40"/>
          <w:rtl/>
        </w:rPr>
      </w:pPr>
      <w:r w:rsidRPr="00C406BC">
        <w:rPr>
          <w:rFonts w:ascii="Traditional Arabic" w:hAnsi="Traditional Arabic" w:cs="Traditional Arabic"/>
          <w:sz w:val="40"/>
          <w:szCs w:val="40"/>
          <w:rtl/>
        </w:rPr>
        <w:lastRenderedPageBreak/>
        <w:t>المطلب الثالث</w:t>
      </w:r>
      <w:r w:rsidR="00050396" w:rsidRPr="00C406BC">
        <w:rPr>
          <w:rFonts w:ascii="Traditional Arabic" w:hAnsi="Traditional Arabic" w:cs="Traditional Arabic"/>
          <w:sz w:val="40"/>
          <w:szCs w:val="40"/>
          <w:rtl/>
        </w:rPr>
        <w:t>: التقادم الوارد في بعض القوانين التجارية الخاصة</w:t>
      </w:r>
      <w:r w:rsidR="00274B52">
        <w:rPr>
          <w:rFonts w:ascii="Traditional Arabic" w:hAnsi="Traditional Arabic" w:cs="Traditional Arabic" w:hint="cs"/>
          <w:sz w:val="40"/>
          <w:szCs w:val="40"/>
          <w:rtl/>
        </w:rPr>
        <w:t>.</w:t>
      </w:r>
    </w:p>
    <w:p w14:paraId="62785616" w14:textId="12F2F9E2" w:rsidR="005261EC" w:rsidRPr="00274B52" w:rsidRDefault="005261EC" w:rsidP="00C406BC">
      <w:pPr>
        <w:spacing w:after="240" w:line="360" w:lineRule="auto"/>
        <w:ind w:firstLine="720"/>
        <w:rPr>
          <w:rFonts w:ascii="Traditional Arabic" w:hAnsi="Traditional Arabic" w:cs="Traditional Arabic"/>
          <w:b/>
          <w:bCs/>
          <w:sz w:val="40"/>
          <w:szCs w:val="40"/>
          <w:rtl/>
        </w:rPr>
      </w:pPr>
      <w:r w:rsidRPr="00274B52">
        <w:rPr>
          <w:rFonts w:ascii="Traditional Arabic" w:hAnsi="Traditional Arabic" w:cs="Traditional Arabic"/>
          <w:b/>
          <w:bCs/>
          <w:sz w:val="40"/>
          <w:szCs w:val="40"/>
          <w:rtl/>
        </w:rPr>
        <w:t>المبحث الثالث</w:t>
      </w:r>
      <w:r w:rsidR="00050396" w:rsidRPr="00274B52">
        <w:rPr>
          <w:rFonts w:ascii="Traditional Arabic" w:hAnsi="Traditional Arabic" w:cs="Traditional Arabic"/>
          <w:b/>
          <w:bCs/>
          <w:sz w:val="40"/>
          <w:szCs w:val="40"/>
          <w:rtl/>
        </w:rPr>
        <w:t>: مشكلات التقادم في نظام المحاكم التجارية السعودية</w:t>
      </w:r>
      <w:r w:rsidR="004D3806">
        <w:rPr>
          <w:rFonts w:ascii="Traditional Arabic" w:hAnsi="Traditional Arabic" w:cs="Traditional Arabic" w:hint="cs"/>
          <w:b/>
          <w:bCs/>
          <w:sz w:val="40"/>
          <w:szCs w:val="40"/>
          <w:rtl/>
        </w:rPr>
        <w:t>، وتحدياته</w:t>
      </w:r>
      <w:r w:rsidR="00274B52">
        <w:rPr>
          <w:rFonts w:ascii="Traditional Arabic" w:hAnsi="Traditional Arabic" w:cs="Traditional Arabic" w:hint="cs"/>
          <w:b/>
          <w:bCs/>
          <w:sz w:val="40"/>
          <w:szCs w:val="40"/>
          <w:rtl/>
        </w:rPr>
        <w:t>:</w:t>
      </w:r>
    </w:p>
    <w:p w14:paraId="3D8B75E4" w14:textId="71D35CAF" w:rsidR="005261EC" w:rsidRPr="00C406BC" w:rsidRDefault="00050396" w:rsidP="00C406BC">
      <w:pPr>
        <w:spacing w:after="240" w:line="360" w:lineRule="auto"/>
        <w:ind w:firstLine="720"/>
        <w:rPr>
          <w:rFonts w:ascii="Traditional Arabic" w:hAnsi="Traditional Arabic" w:cs="Traditional Arabic"/>
          <w:sz w:val="40"/>
          <w:szCs w:val="40"/>
          <w:rtl/>
        </w:rPr>
      </w:pPr>
      <w:r w:rsidRPr="00C406BC">
        <w:rPr>
          <w:rFonts w:ascii="Traditional Arabic" w:hAnsi="Traditional Arabic" w:cs="Traditional Arabic"/>
          <w:sz w:val="40"/>
          <w:szCs w:val="40"/>
          <w:rtl/>
        </w:rPr>
        <w:t>المطلب الأول:</w:t>
      </w:r>
      <w:r w:rsidR="005261EC" w:rsidRPr="00C406BC">
        <w:rPr>
          <w:rFonts w:ascii="Traditional Arabic" w:hAnsi="Traditional Arabic" w:cs="Traditional Arabic"/>
          <w:sz w:val="40"/>
          <w:szCs w:val="40"/>
          <w:rtl/>
        </w:rPr>
        <w:t xml:space="preserve"> </w:t>
      </w:r>
      <w:r w:rsidR="00274B52" w:rsidRPr="00C406BC">
        <w:rPr>
          <w:rFonts w:ascii="Traditional Arabic" w:hAnsi="Traditional Arabic" w:cs="Traditional Arabic" w:hint="cs"/>
          <w:sz w:val="40"/>
          <w:szCs w:val="40"/>
          <w:rtl/>
        </w:rPr>
        <w:t>أثر</w:t>
      </w:r>
      <w:r w:rsidR="00950D2F" w:rsidRPr="00C406BC">
        <w:rPr>
          <w:rFonts w:ascii="Traditional Arabic" w:hAnsi="Traditional Arabic" w:cs="Traditional Arabic"/>
          <w:sz w:val="40"/>
          <w:szCs w:val="40"/>
          <w:rtl/>
        </w:rPr>
        <w:t xml:space="preserve"> انقطاع التقادم في الالتزام الصرفي</w:t>
      </w:r>
      <w:r w:rsidRPr="00C406BC">
        <w:rPr>
          <w:rFonts w:ascii="Traditional Arabic" w:hAnsi="Traditional Arabic" w:cs="Traditional Arabic"/>
          <w:sz w:val="40"/>
          <w:szCs w:val="40"/>
        </w:rPr>
        <w:t>.</w:t>
      </w:r>
    </w:p>
    <w:p w14:paraId="2A3674E3" w14:textId="611F013E" w:rsidR="005261EC" w:rsidRPr="00C406BC" w:rsidRDefault="005261EC" w:rsidP="00C406BC">
      <w:pPr>
        <w:spacing w:after="240" w:line="360" w:lineRule="auto"/>
        <w:ind w:firstLine="720"/>
        <w:rPr>
          <w:rFonts w:ascii="Traditional Arabic" w:hAnsi="Traditional Arabic" w:cs="Traditional Arabic"/>
          <w:sz w:val="40"/>
          <w:szCs w:val="40"/>
          <w:rtl/>
        </w:rPr>
      </w:pPr>
      <w:r w:rsidRPr="00C406BC">
        <w:rPr>
          <w:rFonts w:ascii="Traditional Arabic" w:hAnsi="Traditional Arabic" w:cs="Traditional Arabic"/>
          <w:sz w:val="40"/>
          <w:szCs w:val="40"/>
          <w:rtl/>
        </w:rPr>
        <w:t>المطلب الثاني</w:t>
      </w:r>
      <w:r w:rsidR="00050396" w:rsidRPr="00C406BC">
        <w:rPr>
          <w:rFonts w:ascii="Traditional Arabic" w:hAnsi="Traditional Arabic" w:cs="Traditional Arabic"/>
          <w:sz w:val="40"/>
          <w:szCs w:val="40"/>
          <w:rtl/>
        </w:rPr>
        <w:t>:</w:t>
      </w:r>
      <w:r w:rsidRPr="00C406BC">
        <w:rPr>
          <w:rFonts w:ascii="Traditional Arabic" w:hAnsi="Traditional Arabic" w:cs="Traditional Arabic"/>
          <w:sz w:val="40"/>
          <w:szCs w:val="40"/>
          <w:rtl/>
        </w:rPr>
        <w:t xml:space="preserve"> </w:t>
      </w:r>
      <w:r w:rsidR="00274B52" w:rsidRPr="00C406BC">
        <w:rPr>
          <w:rFonts w:ascii="Traditional Arabic" w:hAnsi="Traditional Arabic" w:cs="Traditional Arabic" w:hint="cs"/>
          <w:sz w:val="40"/>
          <w:szCs w:val="40"/>
          <w:rtl/>
        </w:rPr>
        <w:t>أثر</w:t>
      </w:r>
      <w:r w:rsidR="00950D2F" w:rsidRPr="00C406BC">
        <w:rPr>
          <w:rFonts w:ascii="Traditional Arabic" w:hAnsi="Traditional Arabic" w:cs="Traditional Arabic"/>
          <w:sz w:val="40"/>
          <w:szCs w:val="40"/>
          <w:rtl/>
        </w:rPr>
        <w:t xml:space="preserve"> وقف سريان عدم سماع الدعوى في الالتزام الصرفي</w:t>
      </w:r>
      <w:r w:rsidR="00050396" w:rsidRPr="00C406BC">
        <w:rPr>
          <w:rFonts w:ascii="Traditional Arabic" w:hAnsi="Traditional Arabic" w:cs="Traditional Arabic"/>
          <w:sz w:val="40"/>
          <w:szCs w:val="40"/>
        </w:rPr>
        <w:t>.</w:t>
      </w:r>
    </w:p>
    <w:p w14:paraId="60FCAF7F" w14:textId="516E4EDA" w:rsidR="00050396" w:rsidRPr="00C406BC" w:rsidRDefault="005261EC" w:rsidP="00C406BC">
      <w:pPr>
        <w:spacing w:after="240" w:line="360" w:lineRule="auto"/>
        <w:ind w:firstLine="720"/>
        <w:rPr>
          <w:rFonts w:ascii="Traditional Arabic" w:hAnsi="Traditional Arabic" w:cs="Traditional Arabic"/>
          <w:sz w:val="40"/>
          <w:szCs w:val="40"/>
          <w:rtl/>
        </w:rPr>
      </w:pPr>
      <w:r w:rsidRPr="00C406BC">
        <w:rPr>
          <w:rFonts w:ascii="Traditional Arabic" w:hAnsi="Traditional Arabic" w:cs="Traditional Arabic"/>
          <w:sz w:val="40"/>
          <w:szCs w:val="40"/>
          <w:rtl/>
        </w:rPr>
        <w:t>المطلب الثالث</w:t>
      </w:r>
      <w:r w:rsidR="00050396" w:rsidRPr="00C406BC">
        <w:rPr>
          <w:rFonts w:ascii="Traditional Arabic" w:hAnsi="Traditional Arabic" w:cs="Traditional Arabic"/>
          <w:sz w:val="40"/>
          <w:szCs w:val="40"/>
          <w:rtl/>
        </w:rPr>
        <w:t>:</w:t>
      </w:r>
      <w:r w:rsidRPr="00C406BC">
        <w:rPr>
          <w:rFonts w:ascii="Traditional Arabic" w:hAnsi="Traditional Arabic" w:cs="Traditional Arabic"/>
          <w:sz w:val="40"/>
          <w:szCs w:val="40"/>
          <w:rtl/>
        </w:rPr>
        <w:t xml:space="preserve"> </w:t>
      </w:r>
      <w:r w:rsidR="00050396" w:rsidRPr="00C406BC">
        <w:rPr>
          <w:rFonts w:ascii="Traditional Arabic" w:hAnsi="Traditional Arabic" w:cs="Traditional Arabic"/>
          <w:sz w:val="40"/>
          <w:szCs w:val="40"/>
          <w:rtl/>
        </w:rPr>
        <w:t>آثار التقادم على العدالة والاقتصاد في المملكة العربية السعودية</w:t>
      </w:r>
      <w:r w:rsidR="00050396" w:rsidRPr="00C406BC">
        <w:rPr>
          <w:rFonts w:ascii="Traditional Arabic" w:hAnsi="Traditional Arabic" w:cs="Traditional Arabic"/>
          <w:sz w:val="40"/>
          <w:szCs w:val="40"/>
        </w:rPr>
        <w:t>.</w:t>
      </w:r>
    </w:p>
    <w:p w14:paraId="08946160" w14:textId="4F4B17A0" w:rsidR="000C533B" w:rsidRPr="00274B52" w:rsidRDefault="005261EC" w:rsidP="00C406BC">
      <w:pPr>
        <w:spacing w:after="240" w:line="360" w:lineRule="auto"/>
        <w:ind w:firstLine="720"/>
        <w:rPr>
          <w:rFonts w:ascii="Traditional Arabic" w:hAnsi="Traditional Arabic" w:cs="Traditional Arabic"/>
          <w:b/>
          <w:bCs/>
          <w:sz w:val="40"/>
          <w:szCs w:val="40"/>
          <w:rtl/>
        </w:rPr>
      </w:pPr>
      <w:r w:rsidRPr="00274B52">
        <w:rPr>
          <w:rFonts w:ascii="Traditional Arabic" w:hAnsi="Traditional Arabic" w:cs="Traditional Arabic"/>
          <w:b/>
          <w:bCs/>
          <w:sz w:val="40"/>
          <w:szCs w:val="40"/>
          <w:rtl/>
        </w:rPr>
        <w:t>الخاتمة.</w:t>
      </w:r>
    </w:p>
    <w:p w14:paraId="1F7306C6" w14:textId="77777777" w:rsidR="00286DB0" w:rsidRPr="00C406BC" w:rsidRDefault="00286DB0" w:rsidP="00C406BC">
      <w:pPr>
        <w:spacing w:after="240" w:line="360" w:lineRule="auto"/>
        <w:ind w:firstLine="720"/>
        <w:rPr>
          <w:rFonts w:ascii="Traditional Arabic" w:hAnsi="Traditional Arabic" w:cs="Traditional Arabic"/>
          <w:sz w:val="40"/>
          <w:szCs w:val="40"/>
          <w:rtl/>
        </w:rPr>
      </w:pPr>
    </w:p>
    <w:p w14:paraId="1AD78B9C" w14:textId="77777777" w:rsidR="00286DB0" w:rsidRPr="00C406BC" w:rsidRDefault="00286DB0" w:rsidP="00C406BC">
      <w:pPr>
        <w:spacing w:after="240" w:line="360" w:lineRule="auto"/>
        <w:ind w:firstLine="720"/>
        <w:rPr>
          <w:rFonts w:ascii="Traditional Arabic" w:hAnsi="Traditional Arabic" w:cs="Traditional Arabic"/>
          <w:sz w:val="40"/>
          <w:szCs w:val="40"/>
          <w:rtl/>
        </w:rPr>
      </w:pPr>
    </w:p>
    <w:p w14:paraId="222467C4" w14:textId="77777777" w:rsidR="00286DB0" w:rsidRPr="00C406BC" w:rsidRDefault="00286DB0" w:rsidP="00C406BC">
      <w:pPr>
        <w:spacing w:after="240" w:line="360" w:lineRule="auto"/>
        <w:ind w:firstLine="720"/>
        <w:rPr>
          <w:rFonts w:ascii="Traditional Arabic" w:hAnsi="Traditional Arabic" w:cs="Traditional Arabic"/>
          <w:sz w:val="40"/>
          <w:szCs w:val="40"/>
          <w:rtl/>
        </w:rPr>
      </w:pPr>
    </w:p>
    <w:p w14:paraId="69AD9488" w14:textId="77777777" w:rsidR="00286DB0" w:rsidRPr="00C406BC" w:rsidRDefault="00286DB0" w:rsidP="00C406BC">
      <w:pPr>
        <w:spacing w:after="240" w:line="360" w:lineRule="auto"/>
        <w:ind w:firstLine="720"/>
        <w:rPr>
          <w:rFonts w:ascii="Traditional Arabic" w:hAnsi="Traditional Arabic" w:cs="Traditional Arabic"/>
          <w:sz w:val="40"/>
          <w:szCs w:val="40"/>
          <w:rtl/>
        </w:rPr>
      </w:pPr>
    </w:p>
    <w:p w14:paraId="4A524634" w14:textId="77777777" w:rsidR="00C406BC" w:rsidRPr="00C406BC" w:rsidRDefault="00C406BC" w:rsidP="00274B52">
      <w:pPr>
        <w:spacing w:after="240" w:line="360" w:lineRule="auto"/>
        <w:rPr>
          <w:rFonts w:ascii="Traditional Arabic" w:hAnsi="Traditional Arabic" w:cs="Traditional Arabic"/>
          <w:sz w:val="40"/>
          <w:szCs w:val="40"/>
          <w:rtl/>
        </w:rPr>
      </w:pPr>
    </w:p>
    <w:p w14:paraId="6666959C" w14:textId="3DA68629" w:rsidR="00286DB0" w:rsidRDefault="00286DB0" w:rsidP="00274B52">
      <w:pPr>
        <w:shd w:val="clear" w:color="auto" w:fill="EDEDED" w:themeFill="accent3" w:themeFillTint="33"/>
        <w:spacing w:after="240" w:line="360" w:lineRule="auto"/>
        <w:ind w:firstLine="720"/>
        <w:jc w:val="center"/>
        <w:rPr>
          <w:rFonts w:ascii="Traditional Arabic" w:eastAsia="Calibri" w:hAnsi="Traditional Arabic" w:cs="Traditional Arabic"/>
          <w:b/>
          <w:bCs/>
          <w:sz w:val="40"/>
          <w:szCs w:val="40"/>
          <w:rtl/>
        </w:rPr>
      </w:pPr>
      <w:r w:rsidRPr="00C406BC">
        <w:rPr>
          <w:rFonts w:ascii="Traditional Arabic" w:eastAsia="Calibri" w:hAnsi="Traditional Arabic" w:cs="Traditional Arabic"/>
          <w:b/>
          <w:bCs/>
          <w:sz w:val="40"/>
          <w:szCs w:val="40"/>
          <w:rtl/>
        </w:rPr>
        <w:lastRenderedPageBreak/>
        <w:t>المبحث الأول: التقادم</w:t>
      </w:r>
      <w:r w:rsidR="00783ED2">
        <w:rPr>
          <w:rFonts w:ascii="Traditional Arabic" w:eastAsia="Calibri" w:hAnsi="Traditional Arabic" w:cs="Traditional Arabic" w:hint="cs"/>
          <w:b/>
          <w:bCs/>
          <w:sz w:val="40"/>
          <w:szCs w:val="40"/>
          <w:rtl/>
        </w:rPr>
        <w:t>،</w:t>
      </w:r>
      <w:r w:rsidRPr="00C406BC">
        <w:rPr>
          <w:rFonts w:ascii="Traditional Arabic" w:eastAsia="Calibri" w:hAnsi="Traditional Arabic" w:cs="Traditional Arabic"/>
          <w:b/>
          <w:bCs/>
          <w:sz w:val="40"/>
          <w:szCs w:val="40"/>
          <w:rtl/>
        </w:rPr>
        <w:t xml:space="preserve"> </w:t>
      </w:r>
      <w:r w:rsidR="00274B52" w:rsidRPr="00C406BC">
        <w:rPr>
          <w:rFonts w:ascii="Traditional Arabic" w:eastAsia="Calibri" w:hAnsi="Traditional Arabic" w:cs="Traditional Arabic" w:hint="cs"/>
          <w:b/>
          <w:bCs/>
          <w:sz w:val="40"/>
          <w:szCs w:val="40"/>
          <w:rtl/>
        </w:rPr>
        <w:t>وأثره</w:t>
      </w:r>
      <w:r w:rsidRPr="00C406BC">
        <w:rPr>
          <w:rFonts w:ascii="Traditional Arabic" w:eastAsia="Calibri" w:hAnsi="Traditional Arabic" w:cs="Traditional Arabic"/>
          <w:b/>
          <w:bCs/>
          <w:sz w:val="40"/>
          <w:szCs w:val="40"/>
          <w:rtl/>
        </w:rPr>
        <w:t xml:space="preserve"> في سقوط الحكم</w:t>
      </w:r>
    </w:p>
    <w:p w14:paraId="7036C301" w14:textId="17E29BDE" w:rsidR="00274B52" w:rsidRPr="00C406BC" w:rsidRDefault="00274B52" w:rsidP="00274B52">
      <w:pPr>
        <w:shd w:val="clear" w:color="auto" w:fill="EDEDED" w:themeFill="accent3" w:themeFillTint="33"/>
        <w:spacing w:after="240" w:line="360" w:lineRule="auto"/>
        <w:ind w:firstLine="720"/>
        <w:jc w:val="center"/>
        <w:rPr>
          <w:rFonts w:ascii="Traditional Arabic" w:eastAsia="Calibri" w:hAnsi="Traditional Arabic" w:cs="Traditional Arabic"/>
          <w:b/>
          <w:bCs/>
          <w:sz w:val="40"/>
          <w:szCs w:val="40"/>
          <w:rtl/>
        </w:rPr>
      </w:pPr>
      <w:r>
        <w:rPr>
          <w:rFonts w:ascii="Traditional Arabic" w:eastAsia="Calibri" w:hAnsi="Traditional Arabic" w:cs="Traditional Arabic" w:hint="cs"/>
          <w:b/>
          <w:bCs/>
          <w:sz w:val="40"/>
          <w:szCs w:val="40"/>
          <w:rtl/>
        </w:rPr>
        <w:t>ويشتمل على ثلاثة مطالب:</w:t>
      </w:r>
    </w:p>
    <w:p w14:paraId="088680D4" w14:textId="7030503E" w:rsidR="00286DB0" w:rsidRPr="00C406BC" w:rsidRDefault="00286DB0" w:rsidP="00274B52">
      <w:pPr>
        <w:pStyle w:val="a5"/>
        <w:spacing w:after="240" w:line="360" w:lineRule="auto"/>
        <w:ind w:left="1440"/>
        <w:jc w:val="center"/>
        <w:rPr>
          <w:rFonts w:ascii="Traditional Arabic" w:eastAsia="Calibri" w:hAnsi="Traditional Arabic" w:cs="Traditional Arabic"/>
          <w:b/>
          <w:bCs/>
          <w:sz w:val="40"/>
          <w:szCs w:val="40"/>
          <w:rtl/>
        </w:rPr>
      </w:pPr>
      <w:r w:rsidRPr="00C406BC">
        <w:rPr>
          <w:rFonts w:ascii="Traditional Arabic" w:eastAsia="Calibri" w:hAnsi="Traditional Arabic" w:cs="Traditional Arabic"/>
          <w:b/>
          <w:bCs/>
          <w:sz w:val="40"/>
          <w:szCs w:val="40"/>
          <w:rtl/>
        </w:rPr>
        <w:t>المطلب الأول: تعريف التقادم</w:t>
      </w:r>
      <w:r w:rsidR="00783ED2">
        <w:rPr>
          <w:rFonts w:ascii="Traditional Arabic" w:eastAsia="Calibri" w:hAnsi="Traditional Arabic" w:cs="Traditional Arabic" w:hint="cs"/>
          <w:b/>
          <w:bCs/>
          <w:sz w:val="40"/>
          <w:szCs w:val="40"/>
          <w:rtl/>
        </w:rPr>
        <w:t>،</w:t>
      </w:r>
      <w:r w:rsidRPr="00C406BC">
        <w:rPr>
          <w:rFonts w:ascii="Traditional Arabic" w:eastAsia="Calibri" w:hAnsi="Traditional Arabic" w:cs="Traditional Arabic"/>
          <w:b/>
          <w:bCs/>
          <w:sz w:val="40"/>
          <w:szCs w:val="40"/>
          <w:rtl/>
        </w:rPr>
        <w:t xml:space="preserve"> وبيان </w:t>
      </w:r>
      <w:r w:rsidR="005573CB">
        <w:rPr>
          <w:rFonts w:ascii="Traditional Arabic" w:eastAsia="Calibri" w:hAnsi="Traditional Arabic" w:cs="Traditional Arabic" w:hint="cs"/>
          <w:b/>
          <w:bCs/>
          <w:sz w:val="40"/>
          <w:szCs w:val="40"/>
          <w:rtl/>
        </w:rPr>
        <w:t>أ</w:t>
      </w:r>
      <w:r w:rsidRPr="00C406BC">
        <w:rPr>
          <w:rFonts w:ascii="Traditional Arabic" w:eastAsia="Calibri" w:hAnsi="Traditional Arabic" w:cs="Traditional Arabic"/>
          <w:b/>
          <w:bCs/>
          <w:sz w:val="40"/>
          <w:szCs w:val="40"/>
          <w:rtl/>
        </w:rPr>
        <w:t>نو</w:t>
      </w:r>
      <w:r w:rsidR="005573CB">
        <w:rPr>
          <w:rFonts w:ascii="Traditional Arabic" w:eastAsia="Calibri" w:hAnsi="Traditional Arabic" w:cs="Traditional Arabic" w:hint="cs"/>
          <w:b/>
          <w:bCs/>
          <w:sz w:val="40"/>
          <w:szCs w:val="40"/>
          <w:rtl/>
        </w:rPr>
        <w:t>ا</w:t>
      </w:r>
      <w:r w:rsidRPr="00C406BC">
        <w:rPr>
          <w:rFonts w:ascii="Traditional Arabic" w:eastAsia="Calibri" w:hAnsi="Traditional Arabic" w:cs="Traditional Arabic"/>
          <w:b/>
          <w:bCs/>
          <w:sz w:val="40"/>
          <w:szCs w:val="40"/>
          <w:rtl/>
        </w:rPr>
        <w:t>عه</w:t>
      </w:r>
    </w:p>
    <w:p w14:paraId="2B0901DC" w14:textId="56DAC2EF" w:rsidR="00286DB0" w:rsidRPr="00C406BC" w:rsidRDefault="00286DB0" w:rsidP="00274B52">
      <w:pPr>
        <w:pStyle w:val="a5"/>
        <w:spacing w:after="240" w:line="360" w:lineRule="auto"/>
        <w:ind w:left="1440"/>
        <w:jc w:val="center"/>
        <w:rPr>
          <w:rFonts w:ascii="Traditional Arabic" w:eastAsia="Calibri" w:hAnsi="Traditional Arabic" w:cs="Traditional Arabic"/>
          <w:b/>
          <w:bCs/>
          <w:sz w:val="40"/>
          <w:szCs w:val="40"/>
          <w:rtl/>
        </w:rPr>
      </w:pPr>
      <w:r w:rsidRPr="00C406BC">
        <w:rPr>
          <w:rFonts w:ascii="Traditional Arabic" w:eastAsia="Calibri" w:hAnsi="Traditional Arabic" w:cs="Traditional Arabic"/>
          <w:b/>
          <w:bCs/>
          <w:sz w:val="40"/>
          <w:szCs w:val="40"/>
          <w:rtl/>
        </w:rPr>
        <w:t xml:space="preserve">المطلب الثاني: </w:t>
      </w:r>
      <w:r w:rsidR="008E60CB">
        <w:rPr>
          <w:rFonts w:ascii="Traditional Arabic" w:hAnsi="Traditional Arabic" w:cs="Traditional Arabic" w:hint="cs"/>
          <w:sz w:val="40"/>
          <w:szCs w:val="40"/>
          <w:rtl/>
        </w:rPr>
        <w:t>علاقة التقادم بالنظام العام.</w:t>
      </w:r>
    </w:p>
    <w:p w14:paraId="13991B48" w14:textId="64960D28" w:rsidR="00286DB0" w:rsidRPr="00C406BC" w:rsidRDefault="00286DB0" w:rsidP="00274B52">
      <w:pPr>
        <w:pStyle w:val="a5"/>
        <w:spacing w:after="240" w:line="360" w:lineRule="auto"/>
        <w:ind w:left="1440"/>
        <w:jc w:val="center"/>
        <w:rPr>
          <w:rFonts w:ascii="Traditional Arabic" w:eastAsia="Calibri" w:hAnsi="Traditional Arabic" w:cs="Traditional Arabic"/>
          <w:b/>
          <w:bCs/>
          <w:sz w:val="40"/>
          <w:szCs w:val="40"/>
          <w:rtl/>
        </w:rPr>
      </w:pPr>
      <w:r w:rsidRPr="00C406BC">
        <w:rPr>
          <w:rFonts w:ascii="Traditional Arabic" w:eastAsia="Calibri" w:hAnsi="Traditional Arabic" w:cs="Traditional Arabic"/>
          <w:b/>
          <w:bCs/>
          <w:sz w:val="40"/>
          <w:szCs w:val="40"/>
          <w:rtl/>
        </w:rPr>
        <w:t>المطلب الثالث: ال</w:t>
      </w:r>
      <w:r w:rsidR="004D3806">
        <w:rPr>
          <w:rFonts w:ascii="Traditional Arabic" w:eastAsia="Calibri" w:hAnsi="Traditional Arabic" w:cs="Traditional Arabic" w:hint="cs"/>
          <w:b/>
          <w:bCs/>
          <w:sz w:val="40"/>
          <w:szCs w:val="40"/>
          <w:rtl/>
        </w:rPr>
        <w:t>أ</w:t>
      </w:r>
      <w:r w:rsidRPr="00C406BC">
        <w:rPr>
          <w:rFonts w:ascii="Traditional Arabic" w:eastAsia="Calibri" w:hAnsi="Traditional Arabic" w:cs="Traditional Arabic"/>
          <w:b/>
          <w:bCs/>
          <w:sz w:val="40"/>
          <w:szCs w:val="40"/>
          <w:rtl/>
        </w:rPr>
        <w:t>ساس الشرعي للتقادم</w:t>
      </w:r>
      <w:r w:rsidR="00783ED2">
        <w:rPr>
          <w:rFonts w:ascii="Traditional Arabic" w:eastAsia="Calibri" w:hAnsi="Traditional Arabic" w:cs="Traditional Arabic" w:hint="cs"/>
          <w:b/>
          <w:bCs/>
          <w:sz w:val="40"/>
          <w:szCs w:val="40"/>
          <w:rtl/>
        </w:rPr>
        <w:t>،</w:t>
      </w:r>
      <w:r w:rsidRPr="00C406BC">
        <w:rPr>
          <w:rFonts w:ascii="Traditional Arabic" w:eastAsia="Calibri" w:hAnsi="Traditional Arabic" w:cs="Traditional Arabic"/>
          <w:b/>
          <w:bCs/>
          <w:sz w:val="40"/>
          <w:szCs w:val="40"/>
          <w:rtl/>
        </w:rPr>
        <w:t xml:space="preserve"> ومدته</w:t>
      </w:r>
    </w:p>
    <w:p w14:paraId="45C08C41" w14:textId="77777777" w:rsidR="00286DB0" w:rsidRPr="00C406BC" w:rsidRDefault="00286DB0" w:rsidP="00C406BC">
      <w:pPr>
        <w:spacing w:after="240" w:line="360" w:lineRule="auto"/>
        <w:ind w:firstLine="720"/>
        <w:rPr>
          <w:rFonts w:ascii="Traditional Arabic" w:hAnsi="Traditional Arabic" w:cs="Traditional Arabic"/>
          <w:sz w:val="40"/>
          <w:szCs w:val="40"/>
          <w:rtl/>
        </w:rPr>
      </w:pPr>
    </w:p>
    <w:p w14:paraId="06D171CF" w14:textId="77777777" w:rsidR="00286DB0" w:rsidRPr="00C406BC" w:rsidRDefault="00286DB0" w:rsidP="00C406BC">
      <w:pPr>
        <w:spacing w:after="240" w:line="360" w:lineRule="auto"/>
        <w:ind w:firstLine="720"/>
        <w:rPr>
          <w:rFonts w:ascii="Traditional Arabic" w:hAnsi="Traditional Arabic" w:cs="Traditional Arabic"/>
          <w:sz w:val="40"/>
          <w:szCs w:val="40"/>
          <w:rtl/>
        </w:rPr>
      </w:pPr>
    </w:p>
    <w:p w14:paraId="6A843867" w14:textId="77777777" w:rsidR="00286DB0" w:rsidRPr="00C406BC" w:rsidRDefault="00286DB0" w:rsidP="00C406BC">
      <w:pPr>
        <w:spacing w:after="240" w:line="360" w:lineRule="auto"/>
        <w:rPr>
          <w:rFonts w:ascii="Traditional Arabic" w:hAnsi="Traditional Arabic" w:cs="Traditional Arabic"/>
          <w:sz w:val="40"/>
          <w:szCs w:val="40"/>
          <w:rtl/>
        </w:rPr>
      </w:pPr>
    </w:p>
    <w:p w14:paraId="6D74BA48" w14:textId="77777777" w:rsidR="00286DB0" w:rsidRPr="00C406BC" w:rsidRDefault="00286DB0" w:rsidP="00C406BC">
      <w:pPr>
        <w:spacing w:after="240" w:line="360" w:lineRule="auto"/>
        <w:ind w:firstLine="720"/>
        <w:rPr>
          <w:rFonts w:ascii="Traditional Arabic" w:hAnsi="Traditional Arabic" w:cs="Traditional Arabic"/>
          <w:sz w:val="40"/>
          <w:szCs w:val="40"/>
          <w:rtl/>
        </w:rPr>
      </w:pPr>
    </w:p>
    <w:p w14:paraId="01A26CFF" w14:textId="77777777" w:rsidR="007F662D" w:rsidRDefault="007F662D" w:rsidP="00C406BC">
      <w:pPr>
        <w:pStyle w:val="1"/>
        <w:spacing w:line="360" w:lineRule="auto"/>
        <w:ind w:firstLine="720"/>
        <w:jc w:val="center"/>
        <w:rPr>
          <w:rFonts w:ascii="Traditional Arabic" w:eastAsia="Calibri" w:hAnsi="Traditional Arabic" w:cs="Traditional Arabic"/>
          <w:b/>
          <w:bCs/>
          <w:color w:val="auto"/>
          <w:sz w:val="40"/>
          <w:szCs w:val="40"/>
        </w:rPr>
      </w:pPr>
      <w:bookmarkStart w:id="8" w:name="_Toc168891645"/>
    </w:p>
    <w:p w14:paraId="540A3BA0" w14:textId="77777777" w:rsidR="007F662D" w:rsidRDefault="007F662D" w:rsidP="00C406BC">
      <w:pPr>
        <w:pStyle w:val="1"/>
        <w:spacing w:line="360" w:lineRule="auto"/>
        <w:ind w:firstLine="720"/>
        <w:jc w:val="center"/>
        <w:rPr>
          <w:rFonts w:ascii="Traditional Arabic" w:eastAsia="Calibri" w:hAnsi="Traditional Arabic" w:cs="Traditional Arabic"/>
          <w:b/>
          <w:bCs/>
          <w:color w:val="auto"/>
          <w:sz w:val="40"/>
          <w:szCs w:val="40"/>
        </w:rPr>
      </w:pPr>
    </w:p>
    <w:p w14:paraId="40D21A16" w14:textId="03F2019F" w:rsidR="00286DB0" w:rsidRPr="00C406BC" w:rsidRDefault="00286DB0" w:rsidP="00C406BC">
      <w:pPr>
        <w:pStyle w:val="1"/>
        <w:spacing w:line="360" w:lineRule="auto"/>
        <w:ind w:firstLine="720"/>
        <w:jc w:val="center"/>
        <w:rPr>
          <w:rFonts w:ascii="Traditional Arabic" w:eastAsia="Calibri" w:hAnsi="Traditional Arabic" w:cs="Traditional Arabic"/>
          <w:b/>
          <w:bCs/>
          <w:color w:val="auto"/>
          <w:sz w:val="40"/>
          <w:szCs w:val="40"/>
        </w:rPr>
      </w:pPr>
      <w:r w:rsidRPr="00C406BC">
        <w:rPr>
          <w:rFonts w:ascii="Traditional Arabic" w:eastAsia="Calibri" w:hAnsi="Traditional Arabic" w:cs="Traditional Arabic"/>
          <w:b/>
          <w:bCs/>
          <w:color w:val="auto"/>
          <w:sz w:val="40"/>
          <w:szCs w:val="40"/>
        </w:rPr>
        <w:t>المطلب الأول: تعريف التقادم</w:t>
      </w:r>
      <w:r w:rsidR="007F662D">
        <w:rPr>
          <w:rFonts w:ascii="Traditional Arabic" w:eastAsia="Calibri" w:hAnsi="Traditional Arabic" w:cs="Traditional Arabic" w:hint="cs"/>
          <w:b/>
          <w:bCs/>
          <w:color w:val="auto"/>
          <w:sz w:val="40"/>
          <w:szCs w:val="40"/>
        </w:rPr>
        <w:t>،</w:t>
      </w:r>
      <w:r w:rsidRPr="00C406BC">
        <w:rPr>
          <w:rFonts w:ascii="Traditional Arabic" w:eastAsia="Calibri" w:hAnsi="Traditional Arabic" w:cs="Traditional Arabic"/>
          <w:b/>
          <w:bCs/>
          <w:color w:val="auto"/>
          <w:sz w:val="40"/>
          <w:szCs w:val="40"/>
        </w:rPr>
        <w:t xml:space="preserve"> وبيان </w:t>
      </w:r>
      <w:r w:rsidR="00A534D7">
        <w:rPr>
          <w:rFonts w:ascii="Traditional Arabic" w:eastAsia="Calibri" w:hAnsi="Traditional Arabic" w:cs="Traditional Arabic" w:hint="cs"/>
          <w:b/>
          <w:bCs/>
          <w:color w:val="auto"/>
          <w:sz w:val="40"/>
          <w:szCs w:val="40"/>
        </w:rPr>
        <w:t>أ</w:t>
      </w:r>
      <w:r w:rsidRPr="00C406BC">
        <w:rPr>
          <w:rFonts w:ascii="Traditional Arabic" w:eastAsia="Calibri" w:hAnsi="Traditional Arabic" w:cs="Traditional Arabic"/>
          <w:b/>
          <w:bCs/>
          <w:color w:val="auto"/>
          <w:sz w:val="40"/>
          <w:szCs w:val="40"/>
        </w:rPr>
        <w:t>نو</w:t>
      </w:r>
      <w:r w:rsidR="00A534D7">
        <w:rPr>
          <w:rFonts w:ascii="Traditional Arabic" w:eastAsia="Calibri" w:hAnsi="Traditional Arabic" w:cs="Traditional Arabic" w:hint="cs"/>
          <w:b/>
          <w:bCs/>
          <w:color w:val="auto"/>
          <w:sz w:val="40"/>
          <w:szCs w:val="40"/>
        </w:rPr>
        <w:t>ا</w:t>
      </w:r>
      <w:r w:rsidRPr="00C406BC">
        <w:rPr>
          <w:rFonts w:ascii="Traditional Arabic" w:eastAsia="Calibri" w:hAnsi="Traditional Arabic" w:cs="Traditional Arabic"/>
          <w:b/>
          <w:bCs/>
          <w:color w:val="auto"/>
          <w:sz w:val="40"/>
          <w:szCs w:val="40"/>
        </w:rPr>
        <w:t>عه</w:t>
      </w:r>
      <w:bookmarkEnd w:id="8"/>
    </w:p>
    <w:p w14:paraId="573F9B80" w14:textId="65B644B9" w:rsidR="00286DB0" w:rsidRPr="00A42F7D" w:rsidRDefault="00286DB0" w:rsidP="00C406BC">
      <w:pPr>
        <w:spacing w:after="240" w:line="360" w:lineRule="auto"/>
        <w:ind w:firstLine="720"/>
        <w:jc w:val="both"/>
        <w:rPr>
          <w:rFonts w:ascii="Traditional Arabic" w:eastAsia="Calibri" w:hAnsi="Traditional Arabic" w:cs="Traditional Arabic"/>
          <w:sz w:val="40"/>
          <w:szCs w:val="40"/>
          <w:rtl/>
        </w:rPr>
      </w:pPr>
      <w:r w:rsidRPr="00A42F7D">
        <w:rPr>
          <w:rFonts w:ascii="Traditional Arabic" w:eastAsia="Calibri" w:hAnsi="Traditional Arabic" w:cs="Traditional Arabic"/>
          <w:sz w:val="40"/>
          <w:szCs w:val="40"/>
          <w:rtl/>
        </w:rPr>
        <w:t>الفرع الأول: تعريف التقادم</w:t>
      </w:r>
      <w:r w:rsidR="00A42F7D">
        <w:rPr>
          <w:rFonts w:ascii="Traditional Arabic" w:eastAsia="Calibri" w:hAnsi="Traditional Arabic" w:cs="Traditional Arabic" w:hint="cs"/>
          <w:sz w:val="40"/>
          <w:szCs w:val="40"/>
          <w:rtl/>
        </w:rPr>
        <w:t>:</w:t>
      </w:r>
    </w:p>
    <w:p w14:paraId="1ABE96D1" w14:textId="2A265A7E" w:rsidR="005F18A7" w:rsidRPr="00C228A3" w:rsidRDefault="00A42F7D" w:rsidP="005F18A7">
      <w:pPr>
        <w:spacing w:after="240" w:line="360" w:lineRule="auto"/>
        <w:ind w:firstLine="720"/>
        <w:jc w:val="both"/>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t>أولا:</w:t>
      </w:r>
      <w:r w:rsidR="00C228A3" w:rsidRPr="00A42F7D">
        <w:rPr>
          <w:rFonts w:ascii="Traditional Arabic" w:eastAsia="Calibri" w:hAnsi="Traditional Arabic" w:cs="Traditional Arabic" w:hint="cs"/>
          <w:sz w:val="40"/>
          <w:szCs w:val="40"/>
          <w:rtl/>
        </w:rPr>
        <w:t xml:space="preserve"> تعريف التقادم في اللغة</w:t>
      </w:r>
      <w:r w:rsidR="00C228A3">
        <w:rPr>
          <w:rFonts w:ascii="Traditional Arabic" w:eastAsia="Calibri" w:hAnsi="Traditional Arabic" w:cs="Traditional Arabic" w:hint="cs"/>
          <w:b/>
          <w:bCs/>
          <w:sz w:val="40"/>
          <w:szCs w:val="40"/>
          <w:rtl/>
        </w:rPr>
        <w:t xml:space="preserve">: </w:t>
      </w:r>
      <w:bookmarkStart w:id="9" w:name="_Hlk180667462"/>
      <w:r w:rsidR="00C228A3" w:rsidRPr="00C228A3">
        <w:rPr>
          <w:rFonts w:ascii="Traditional Arabic" w:eastAsia="Calibri" w:hAnsi="Traditional Arabic" w:cs="Traditional Arabic" w:hint="cs"/>
          <w:sz w:val="40"/>
          <w:szCs w:val="40"/>
          <w:rtl/>
        </w:rPr>
        <w:t>مصدر تقادم</w:t>
      </w:r>
      <w:r w:rsidR="00C228A3">
        <w:rPr>
          <w:rFonts w:ascii="Traditional Arabic" w:eastAsia="Calibri" w:hAnsi="Traditional Arabic" w:cs="Traditional Arabic" w:hint="cs"/>
          <w:b/>
          <w:bCs/>
          <w:sz w:val="40"/>
          <w:szCs w:val="40"/>
          <w:rtl/>
        </w:rPr>
        <w:t xml:space="preserve">، </w:t>
      </w:r>
      <w:r w:rsidR="00C228A3" w:rsidRPr="00C228A3">
        <w:rPr>
          <w:rFonts w:ascii="Traditional Arabic" w:eastAsia="Calibri" w:hAnsi="Traditional Arabic" w:cs="Traditional Arabic" w:hint="cs"/>
          <w:sz w:val="40"/>
          <w:szCs w:val="40"/>
          <w:rtl/>
        </w:rPr>
        <w:t xml:space="preserve">وأصله من مادة قدم، يقال تقادم الشيء يتقادم تقادما، فهو متقادم، وهو مرور زمن طويل على الشيء، يقال تقادم الشيء؛ أي طال عليه الزمن </w:t>
      </w:r>
      <w:r w:rsidR="00C228A3">
        <w:rPr>
          <w:rFonts w:ascii="Traditional Arabic" w:eastAsia="Calibri" w:hAnsi="Traditional Arabic" w:cs="Traditional Arabic" w:hint="cs"/>
          <w:sz w:val="40"/>
          <w:szCs w:val="40"/>
          <w:rtl/>
        </w:rPr>
        <w:t xml:space="preserve">والأمد، وصار قديما، وأصله من السبق، والتقدم على الغير، والقديم: العتيق السالف </w:t>
      </w:r>
      <w:bookmarkEnd w:id="9"/>
      <w:r w:rsidR="00C228A3">
        <w:rPr>
          <w:rFonts w:ascii="Traditional Arabic" w:eastAsia="Calibri" w:hAnsi="Traditional Arabic" w:cs="Traditional Arabic" w:hint="cs"/>
          <w:sz w:val="40"/>
          <w:szCs w:val="40"/>
          <w:rtl/>
        </w:rPr>
        <w:t>من كل شيء.</w:t>
      </w:r>
      <w:r>
        <w:rPr>
          <w:rStyle w:val="a4"/>
          <w:rFonts w:ascii="Traditional Arabic" w:eastAsia="Calibri" w:hAnsi="Traditional Arabic" w:cs="Traditional Arabic"/>
          <w:sz w:val="40"/>
          <w:szCs w:val="40"/>
          <w:rtl/>
        </w:rPr>
        <w:footnoteReference w:id="1"/>
      </w:r>
      <w:r w:rsidR="005F18A7">
        <w:rPr>
          <w:rFonts w:ascii="Traditional Arabic" w:eastAsia="Calibri" w:hAnsi="Traditional Arabic" w:cs="Traditional Arabic" w:hint="cs"/>
          <w:sz w:val="40"/>
          <w:szCs w:val="40"/>
          <w:rtl/>
        </w:rPr>
        <w:t xml:space="preserve"> </w:t>
      </w:r>
    </w:p>
    <w:p w14:paraId="133F2FAD" w14:textId="7477D357" w:rsidR="00286DB0" w:rsidRPr="00C406BC" w:rsidRDefault="00A42F7D" w:rsidP="00A42F7D">
      <w:pPr>
        <w:spacing w:after="240" w:line="360" w:lineRule="auto"/>
        <w:jc w:val="both"/>
        <w:rPr>
          <w:rFonts w:ascii="Traditional Arabic" w:eastAsia="Calibri" w:hAnsi="Traditional Arabic" w:cs="Traditional Arabic"/>
          <w:sz w:val="40"/>
          <w:szCs w:val="40"/>
        </w:rPr>
      </w:pPr>
      <w:r w:rsidRPr="00A42F7D">
        <w:rPr>
          <w:rFonts w:ascii="Traditional Arabic" w:eastAsia="Calibri" w:hAnsi="Traditional Arabic" w:cs="Traditional Arabic" w:hint="cs"/>
          <w:sz w:val="40"/>
          <w:szCs w:val="40"/>
          <w:rtl/>
        </w:rPr>
        <w:t>ثانيا:</w:t>
      </w:r>
      <w:r w:rsidR="005F18A7" w:rsidRPr="00A42F7D">
        <w:rPr>
          <w:rFonts w:ascii="Traditional Arabic" w:eastAsia="Calibri" w:hAnsi="Traditional Arabic" w:cs="Traditional Arabic" w:hint="cs"/>
          <w:sz w:val="40"/>
          <w:szCs w:val="40"/>
          <w:rtl/>
        </w:rPr>
        <w:t xml:space="preserve"> التقادم في النظام</w:t>
      </w:r>
      <w:r w:rsidRPr="00A42F7D">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w:t>
      </w:r>
      <w:r w:rsidR="005F18A7">
        <w:rPr>
          <w:rFonts w:ascii="Traditional Arabic" w:eastAsia="Calibri" w:hAnsi="Traditional Arabic" w:cs="Traditional Arabic" w:hint="cs"/>
          <w:sz w:val="40"/>
          <w:szCs w:val="40"/>
          <w:rtl/>
        </w:rPr>
        <w:t>تناولت</w:t>
      </w:r>
      <w:r w:rsidR="00286DB0" w:rsidRPr="00C406BC">
        <w:rPr>
          <w:rFonts w:ascii="Traditional Arabic" w:eastAsia="Calibri" w:hAnsi="Traditional Arabic" w:cs="Traditional Arabic"/>
          <w:sz w:val="40"/>
          <w:szCs w:val="40"/>
          <w:rtl/>
        </w:rPr>
        <w:t xml:space="preserve"> بعض القوانين والأنظمة تناولته</w:t>
      </w:r>
      <w:r w:rsidR="005F18A7">
        <w:rPr>
          <w:rFonts w:ascii="Traditional Arabic" w:eastAsia="Calibri" w:hAnsi="Traditional Arabic" w:cs="Traditional Arabic" w:hint="cs"/>
          <w:sz w:val="40"/>
          <w:szCs w:val="40"/>
          <w:rtl/>
        </w:rPr>
        <w:t xml:space="preserve"> التقادم على أساس الآثار المترتبة عليه، فقد ورد </w:t>
      </w:r>
      <w:r>
        <w:rPr>
          <w:rFonts w:ascii="Traditional Arabic" w:eastAsia="Calibri" w:hAnsi="Traditional Arabic" w:cs="Traditional Arabic" w:hint="cs"/>
          <w:sz w:val="40"/>
          <w:szCs w:val="40"/>
          <w:rtl/>
        </w:rPr>
        <w:t xml:space="preserve">فيها </w:t>
      </w:r>
      <w:r w:rsidRPr="00C406BC">
        <w:rPr>
          <w:rFonts w:ascii="Traditional Arabic" w:eastAsia="Calibri" w:hAnsi="Traditional Arabic" w:cs="Traditional Arabic" w:hint="cs"/>
          <w:sz w:val="40"/>
          <w:szCs w:val="40"/>
          <w:rtl/>
        </w:rPr>
        <w:t>على</w:t>
      </w:r>
      <w:r w:rsidR="00286DB0" w:rsidRPr="00C406BC">
        <w:rPr>
          <w:rFonts w:ascii="Traditional Arabic" w:eastAsia="Calibri" w:hAnsi="Traditional Arabic" w:cs="Traditional Arabic"/>
          <w:sz w:val="40"/>
          <w:szCs w:val="40"/>
          <w:rtl/>
        </w:rPr>
        <w:t xml:space="preserve"> أساس أنه مسقط</w:t>
      </w:r>
      <w:r w:rsidR="00286DB0" w:rsidRPr="00C406BC">
        <w:rPr>
          <w:rStyle w:val="a4"/>
          <w:rFonts w:ascii="Traditional Arabic" w:eastAsia="Calibri" w:hAnsi="Traditional Arabic" w:cs="Traditional Arabic"/>
          <w:sz w:val="40"/>
          <w:szCs w:val="40"/>
          <w:rtl/>
        </w:rPr>
        <w:footnoteReference w:id="2"/>
      </w:r>
      <w:r w:rsidR="00286DB0" w:rsidRPr="00C406BC">
        <w:rPr>
          <w:rFonts w:ascii="Traditional Arabic" w:eastAsia="Calibri" w:hAnsi="Traditional Arabic" w:cs="Traditional Arabic"/>
          <w:sz w:val="40"/>
          <w:szCs w:val="40"/>
          <w:rtl/>
        </w:rPr>
        <w:t xml:space="preserve">، </w:t>
      </w:r>
      <w:r w:rsidR="0016646D">
        <w:rPr>
          <w:rFonts w:ascii="Traditional Arabic" w:eastAsia="Calibri" w:hAnsi="Traditional Arabic" w:cs="Traditional Arabic" w:hint="cs"/>
          <w:sz w:val="40"/>
          <w:szCs w:val="40"/>
          <w:rtl/>
        </w:rPr>
        <w:t>أو</w:t>
      </w:r>
      <w:r w:rsidR="00286DB0" w:rsidRPr="00C406BC">
        <w:rPr>
          <w:rFonts w:ascii="Traditional Arabic" w:eastAsia="Calibri" w:hAnsi="Traditional Arabic" w:cs="Traditional Arabic"/>
          <w:sz w:val="40"/>
          <w:szCs w:val="40"/>
          <w:rtl/>
        </w:rPr>
        <w:t xml:space="preserve"> مكسب، </w:t>
      </w:r>
      <w:r w:rsidR="0016646D">
        <w:rPr>
          <w:rFonts w:ascii="Traditional Arabic" w:eastAsia="Calibri" w:hAnsi="Traditional Arabic" w:cs="Traditional Arabic" w:hint="cs"/>
          <w:sz w:val="40"/>
          <w:szCs w:val="40"/>
          <w:rtl/>
        </w:rPr>
        <w:t xml:space="preserve">ويمكن القول إن </w:t>
      </w:r>
      <w:r w:rsidR="00286DB0" w:rsidRPr="00C406BC">
        <w:rPr>
          <w:rFonts w:ascii="Traditional Arabic" w:eastAsia="Calibri" w:hAnsi="Traditional Arabic" w:cs="Traditional Arabic"/>
          <w:sz w:val="40"/>
          <w:szCs w:val="40"/>
          <w:rtl/>
        </w:rPr>
        <w:t xml:space="preserve">معظم القوانين المدنية والتجارية التي تناولت أحكام التقادم لم تضع تعريفاً محدداً له، إنما اكتفت بنص عام يتناول شيئاً </w:t>
      </w:r>
      <w:r w:rsidR="00286DB0" w:rsidRPr="00C406BC">
        <w:rPr>
          <w:rFonts w:ascii="Traditional Arabic" w:eastAsia="Calibri" w:hAnsi="Traditional Arabic" w:cs="Traditional Arabic"/>
          <w:sz w:val="40"/>
          <w:szCs w:val="40"/>
          <w:rtl/>
        </w:rPr>
        <w:lastRenderedPageBreak/>
        <w:t>من أحكامه</w:t>
      </w:r>
      <w:r w:rsidR="0016646D">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ونظام الأوراق التجارية السعودي أورد الأحكام الخاصة بالتقادم دون أن يتطرق لتعريفه، وترك ذلك للاجتهاد الفقهي ولأحكام اللجان</w:t>
      </w:r>
      <w:r w:rsidR="0016646D">
        <w:rPr>
          <w:rFonts w:ascii="Traditional Arabic" w:eastAsia="Calibri" w:hAnsi="Traditional Arabic" w:cs="Traditional Arabic" w:hint="cs"/>
          <w:sz w:val="40"/>
          <w:szCs w:val="40"/>
          <w:rtl/>
        </w:rPr>
        <w:t>، كما نجد أن</w:t>
      </w:r>
      <w:r w:rsidR="00286DB0" w:rsidRPr="00C406BC">
        <w:rPr>
          <w:rFonts w:ascii="Traditional Arabic" w:eastAsia="Calibri" w:hAnsi="Traditional Arabic" w:cs="Traditional Arabic"/>
          <w:sz w:val="40"/>
          <w:szCs w:val="40"/>
          <w:rtl/>
        </w:rPr>
        <w:t xml:space="preserve"> المجموعة المدنية القانونية المصرية لم تضع تعريفاً محدداً للتقادم، بل نصت في المادة (386) على أن "يترتب على التقادم انقضاء الالتزام"، بينما المادة (368/24) في التقنين المدني القديم كانت تقضي بأن "</w:t>
      </w:r>
      <w:bookmarkStart w:id="10" w:name="_Hlk180667646"/>
      <w:r w:rsidR="00286DB0" w:rsidRPr="00C406BC">
        <w:rPr>
          <w:rFonts w:ascii="Traditional Arabic" w:eastAsia="Calibri" w:hAnsi="Traditional Arabic" w:cs="Traditional Arabic"/>
          <w:sz w:val="40"/>
          <w:szCs w:val="40"/>
          <w:rtl/>
        </w:rPr>
        <w:t>مضي المدة المقررة بالقانون يترتب عليه سقوط التعهد واعتبار براءة المتعهد منه</w:t>
      </w:r>
      <w:bookmarkEnd w:id="10"/>
      <w:r w:rsidR="00286DB0" w:rsidRPr="00C406BC">
        <w:rPr>
          <w:rFonts w:ascii="Traditional Arabic" w:eastAsia="Calibri" w:hAnsi="Traditional Arabic" w:cs="Traditional Arabic"/>
          <w:sz w:val="40"/>
          <w:szCs w:val="40"/>
        </w:rPr>
        <w:t>".</w:t>
      </w:r>
      <w:r w:rsidR="00286DB0" w:rsidRPr="00C406BC">
        <w:rPr>
          <w:rStyle w:val="a4"/>
          <w:rFonts w:ascii="Traditional Arabic" w:eastAsia="Calibri" w:hAnsi="Traditional Arabic" w:cs="Traditional Arabic"/>
          <w:sz w:val="40"/>
          <w:szCs w:val="40"/>
        </w:rPr>
        <w:footnoteReference w:id="3"/>
      </w:r>
    </w:p>
    <w:p w14:paraId="7A14BF9C" w14:textId="74E79CD0" w:rsidR="00286DB0" w:rsidRDefault="0016646D" w:rsidP="00C406BC">
      <w:pPr>
        <w:spacing w:after="240" w:line="360" w:lineRule="auto"/>
        <w:ind w:firstLine="720"/>
        <w:jc w:val="both"/>
        <w:rPr>
          <w:rFonts w:ascii="Traditional Arabic" w:eastAsia="Calibri" w:hAnsi="Traditional Arabic" w:cs="Traditional Arabic"/>
          <w:sz w:val="40"/>
          <w:szCs w:val="40"/>
          <w:rtl/>
        </w:rPr>
      </w:pPr>
      <w:r>
        <w:rPr>
          <w:rFonts w:ascii="Traditional Arabic" w:eastAsia="Calibri" w:hAnsi="Traditional Arabic" w:cs="Traditional Arabic" w:hint="cs"/>
          <w:sz w:val="40"/>
          <w:szCs w:val="40"/>
          <w:rtl/>
        </w:rPr>
        <w:t xml:space="preserve">ثم إننا نجد </w:t>
      </w:r>
      <w:bookmarkStart w:id="11" w:name="_Hlk180667751"/>
      <w:r>
        <w:rPr>
          <w:rFonts w:ascii="Traditional Arabic" w:eastAsia="Calibri" w:hAnsi="Traditional Arabic" w:cs="Traditional Arabic" w:hint="cs"/>
          <w:sz w:val="40"/>
          <w:szCs w:val="40"/>
          <w:rtl/>
        </w:rPr>
        <w:t xml:space="preserve">أن </w:t>
      </w:r>
      <w:r w:rsidR="00286DB0" w:rsidRPr="00C406BC">
        <w:rPr>
          <w:rFonts w:ascii="Traditional Arabic" w:eastAsia="Calibri" w:hAnsi="Traditional Arabic" w:cs="Traditional Arabic"/>
          <w:sz w:val="40"/>
          <w:szCs w:val="40"/>
          <w:rtl/>
        </w:rPr>
        <w:t>النظام السعودي استخدم عبارة "عدم سماع الدعوى" بدلاً من "التقاد</w:t>
      </w:r>
      <w:r>
        <w:rPr>
          <w:rFonts w:ascii="Traditional Arabic" w:eastAsia="Calibri" w:hAnsi="Traditional Arabic" w:cs="Traditional Arabic" w:hint="cs"/>
          <w:sz w:val="40"/>
          <w:szCs w:val="40"/>
          <w:rtl/>
        </w:rPr>
        <w:t>م،</w:t>
      </w:r>
      <w:r w:rsidR="00286DB0" w:rsidRPr="00C406BC">
        <w:rPr>
          <w:rFonts w:ascii="Traditional Arabic" w:eastAsia="Calibri" w:hAnsi="Traditional Arabic" w:cs="Traditional Arabic"/>
          <w:sz w:val="40"/>
          <w:szCs w:val="40"/>
          <w:rtl/>
        </w:rPr>
        <w:t xml:space="preserve"> اتباعاً لأحكام الشريعة الإسلامية</w:t>
      </w:r>
      <w:r>
        <w:rPr>
          <w:rFonts w:ascii="Traditional Arabic" w:eastAsia="Calibri" w:hAnsi="Traditional Arabic" w:cs="Traditional Arabic" w:hint="cs"/>
          <w:sz w:val="40"/>
          <w:szCs w:val="40"/>
          <w:rtl/>
        </w:rPr>
        <w:t>،</w:t>
      </w:r>
      <w:bookmarkEnd w:id="11"/>
      <w:r>
        <w:rPr>
          <w:rFonts w:ascii="Traditional Arabic" w:eastAsia="Calibri" w:hAnsi="Traditional Arabic" w:cs="Traditional Arabic" w:hint="cs"/>
          <w:sz w:val="40"/>
          <w:szCs w:val="40"/>
          <w:rtl/>
        </w:rPr>
        <w:t xml:space="preserve"> </w:t>
      </w:r>
      <w:r w:rsidR="00A42F7D">
        <w:rPr>
          <w:rFonts w:ascii="Traditional Arabic" w:eastAsia="Calibri" w:hAnsi="Traditional Arabic" w:cs="Traditional Arabic" w:hint="cs"/>
          <w:sz w:val="40"/>
          <w:szCs w:val="40"/>
          <w:rtl/>
        </w:rPr>
        <w:t xml:space="preserve">ويمكن </w:t>
      </w:r>
      <w:r w:rsidR="00A42F7D" w:rsidRPr="00C406BC">
        <w:rPr>
          <w:rFonts w:ascii="Traditional Arabic" w:eastAsia="Calibri" w:hAnsi="Traditional Arabic" w:cs="Traditional Arabic" w:hint="cs"/>
          <w:sz w:val="40"/>
          <w:szCs w:val="40"/>
          <w:rtl/>
        </w:rPr>
        <w:t>التمثيل</w:t>
      </w:r>
      <w:r w:rsidR="00286DB0" w:rsidRPr="00C406BC">
        <w:rPr>
          <w:rFonts w:ascii="Traditional Arabic" w:eastAsia="Calibri" w:hAnsi="Traditional Arabic" w:cs="Traditional Arabic"/>
          <w:sz w:val="40"/>
          <w:szCs w:val="40"/>
          <w:rtl/>
        </w:rPr>
        <w:t xml:space="preserve"> على ذلك </w:t>
      </w:r>
      <w:r>
        <w:rPr>
          <w:rFonts w:ascii="Traditional Arabic" w:eastAsia="Calibri" w:hAnsi="Traditional Arabic" w:cs="Traditional Arabic" w:hint="cs"/>
          <w:sz w:val="40"/>
          <w:szCs w:val="40"/>
          <w:rtl/>
        </w:rPr>
        <w:t>ب</w:t>
      </w:r>
      <w:r w:rsidR="00286DB0" w:rsidRPr="00C406BC">
        <w:rPr>
          <w:rFonts w:ascii="Traditional Arabic" w:eastAsia="Calibri" w:hAnsi="Traditional Arabic" w:cs="Traditional Arabic"/>
          <w:sz w:val="40"/>
          <w:szCs w:val="40"/>
          <w:rtl/>
        </w:rPr>
        <w:t>نظام الأوراق التجارية الصادر عام 1383 هـ</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ومع ذلك أخذ المنظم في بعض الأنظمة بقاعدة السقوط، مثل نظام الجمارك الصادر بالمرسوم الملكي رقم (425) وتاريخ 5/3/1372 هـ</w:t>
      </w:r>
      <w:r w:rsidR="00286DB0" w:rsidRPr="00C406BC">
        <w:rPr>
          <w:rFonts w:ascii="Traditional Arabic" w:eastAsia="Calibri" w:hAnsi="Traditional Arabic" w:cs="Traditional Arabic"/>
          <w:sz w:val="40"/>
          <w:szCs w:val="40"/>
        </w:rPr>
        <w:t>.</w:t>
      </w:r>
      <w:r w:rsidR="00286DB0" w:rsidRPr="00C406BC">
        <w:rPr>
          <w:rFonts w:ascii="Traditional Arabic" w:eastAsia="Calibri" w:hAnsi="Traditional Arabic" w:cs="Traditional Arabic"/>
          <w:sz w:val="40"/>
          <w:szCs w:val="40"/>
          <w:vertAlign w:val="superscript"/>
        </w:rPr>
        <w:footnoteReference w:id="4"/>
      </w:r>
    </w:p>
    <w:p w14:paraId="43DF660B" w14:textId="07C8E4F2" w:rsidR="0016646D" w:rsidRPr="00FC6C58" w:rsidRDefault="0016646D" w:rsidP="00A42F7D">
      <w:pPr>
        <w:spacing w:after="240" w:line="360" w:lineRule="auto"/>
        <w:ind w:firstLine="720"/>
        <w:jc w:val="both"/>
        <w:rPr>
          <w:rFonts w:ascii="Traditional Arabic" w:eastAsia="Calibri" w:hAnsi="Traditional Arabic" w:cs="Traditional Arabic"/>
          <w:color w:val="FF0000"/>
          <w:sz w:val="40"/>
          <w:szCs w:val="40"/>
          <w:rtl/>
        </w:rPr>
      </w:pPr>
      <w:r>
        <w:rPr>
          <w:rFonts w:ascii="Traditional Arabic" w:eastAsia="Calibri" w:hAnsi="Traditional Arabic" w:cs="Traditional Arabic" w:hint="cs"/>
          <w:sz w:val="40"/>
          <w:szCs w:val="40"/>
          <w:rtl/>
        </w:rPr>
        <w:lastRenderedPageBreak/>
        <w:t>على الرغم مما أوردت، إلا أنه يمكن تعريف التقادم بأنه (</w:t>
      </w:r>
      <w:bookmarkStart w:id="12" w:name="_Hlk180667910"/>
      <w:r>
        <w:rPr>
          <w:rFonts w:ascii="Traditional Arabic" w:eastAsia="Calibri" w:hAnsi="Traditional Arabic" w:cs="Traditional Arabic" w:hint="cs"/>
          <w:sz w:val="40"/>
          <w:szCs w:val="40"/>
          <w:rtl/>
        </w:rPr>
        <w:t xml:space="preserve">انقضاء مدة معينة من الزمن على حدوث أمر، أو واقعة معينة يترتب عليه زوال </w:t>
      </w:r>
      <w:r w:rsidR="00FC6C58">
        <w:rPr>
          <w:rFonts w:ascii="Traditional Arabic" w:eastAsia="Calibri" w:hAnsi="Traditional Arabic" w:cs="Traditional Arabic" w:hint="cs"/>
          <w:sz w:val="40"/>
          <w:szCs w:val="40"/>
          <w:rtl/>
        </w:rPr>
        <w:t>ال</w:t>
      </w:r>
      <w:r>
        <w:rPr>
          <w:rFonts w:ascii="Traditional Arabic" w:eastAsia="Calibri" w:hAnsi="Traditional Arabic" w:cs="Traditional Arabic" w:hint="cs"/>
          <w:sz w:val="40"/>
          <w:szCs w:val="40"/>
          <w:rtl/>
        </w:rPr>
        <w:t xml:space="preserve">أثر </w:t>
      </w:r>
      <w:r w:rsidR="00FC6C58">
        <w:rPr>
          <w:rFonts w:ascii="Traditional Arabic" w:eastAsia="Calibri" w:hAnsi="Traditional Arabic" w:cs="Traditional Arabic" w:hint="cs"/>
          <w:sz w:val="40"/>
          <w:szCs w:val="40"/>
          <w:rtl/>
        </w:rPr>
        <w:t>ال</w:t>
      </w:r>
      <w:r>
        <w:rPr>
          <w:rFonts w:ascii="Traditional Arabic" w:eastAsia="Calibri" w:hAnsi="Traditional Arabic" w:cs="Traditional Arabic" w:hint="cs"/>
          <w:sz w:val="40"/>
          <w:szCs w:val="40"/>
          <w:rtl/>
        </w:rPr>
        <w:t xml:space="preserve">قانوني </w:t>
      </w:r>
      <w:r w:rsidR="00FC6C58">
        <w:rPr>
          <w:rFonts w:ascii="Traditional Arabic" w:eastAsia="Calibri" w:hAnsi="Traditional Arabic" w:cs="Traditional Arabic" w:hint="cs"/>
          <w:sz w:val="40"/>
          <w:szCs w:val="40"/>
          <w:rtl/>
        </w:rPr>
        <w:t>المترتب على هذا الأمر، أو على تلك الواقعة)</w:t>
      </w:r>
      <w:r w:rsidR="00A42F7D">
        <w:rPr>
          <w:rStyle w:val="a4"/>
          <w:rFonts w:ascii="Traditional Arabic" w:eastAsia="Calibri" w:hAnsi="Traditional Arabic" w:cs="Traditional Arabic"/>
          <w:sz w:val="40"/>
          <w:szCs w:val="40"/>
          <w:rtl/>
        </w:rPr>
        <w:footnoteReference w:id="5"/>
      </w:r>
      <w:r w:rsidR="00FC6C58">
        <w:rPr>
          <w:rFonts w:ascii="Traditional Arabic" w:eastAsia="Calibri" w:hAnsi="Traditional Arabic" w:cs="Traditional Arabic" w:hint="cs"/>
          <w:sz w:val="40"/>
          <w:szCs w:val="40"/>
          <w:rtl/>
        </w:rPr>
        <w:t xml:space="preserve"> </w:t>
      </w:r>
    </w:p>
    <w:bookmarkEnd w:id="12"/>
    <w:p w14:paraId="24866534" w14:textId="220FAA73" w:rsidR="00FC6C58" w:rsidRDefault="00FC6C58" w:rsidP="00C406BC">
      <w:pPr>
        <w:spacing w:after="240" w:line="360" w:lineRule="auto"/>
        <w:ind w:firstLine="720"/>
        <w:jc w:val="both"/>
        <w:rPr>
          <w:rFonts w:ascii="Traditional Arabic" w:eastAsia="Calibri" w:hAnsi="Traditional Arabic" w:cs="Traditional Arabic"/>
          <w:sz w:val="40"/>
          <w:szCs w:val="40"/>
          <w:rtl/>
        </w:rPr>
      </w:pPr>
      <w:r>
        <w:rPr>
          <w:rFonts w:ascii="Traditional Arabic" w:eastAsia="Calibri" w:hAnsi="Traditional Arabic" w:cs="Traditional Arabic" w:hint="cs"/>
          <w:sz w:val="40"/>
          <w:szCs w:val="40"/>
          <w:rtl/>
        </w:rPr>
        <w:t>والتقادم نوعان:</w:t>
      </w:r>
    </w:p>
    <w:p w14:paraId="0F0D5072" w14:textId="61A9D93A" w:rsidR="00FC6C58" w:rsidRDefault="00FC6C58" w:rsidP="00FC6C58">
      <w:pPr>
        <w:spacing w:after="240" w:line="360" w:lineRule="auto"/>
        <w:jc w:val="both"/>
        <w:rPr>
          <w:rFonts w:ascii="Traditional Arabic" w:eastAsia="Calibri" w:hAnsi="Traditional Arabic" w:cs="Traditional Arabic"/>
          <w:sz w:val="40"/>
          <w:szCs w:val="40"/>
          <w:rtl/>
        </w:rPr>
      </w:pPr>
      <w:r>
        <w:rPr>
          <w:rFonts w:ascii="Traditional Arabic" w:eastAsia="Calibri" w:hAnsi="Traditional Arabic" w:cs="Traditional Arabic" w:hint="cs"/>
          <w:sz w:val="40"/>
          <w:szCs w:val="40"/>
          <w:rtl/>
        </w:rPr>
        <w:t>أ-</w:t>
      </w:r>
      <w:bookmarkStart w:id="13" w:name="_Hlk180667978"/>
      <w:r w:rsidRPr="00FC6C58">
        <w:rPr>
          <w:rFonts w:ascii="Traditional Arabic" w:eastAsia="Calibri" w:hAnsi="Traditional Arabic" w:cs="Traditional Arabic" w:hint="cs"/>
          <w:sz w:val="40"/>
          <w:szCs w:val="40"/>
          <w:rtl/>
        </w:rPr>
        <w:t>التقادم المسقط: وهو</w:t>
      </w:r>
      <w:r>
        <w:rPr>
          <w:rFonts w:ascii="Traditional Arabic" w:eastAsia="Calibri" w:hAnsi="Traditional Arabic" w:cs="Traditional Arabic" w:hint="cs"/>
          <w:sz w:val="40"/>
          <w:szCs w:val="40"/>
          <w:rtl/>
        </w:rPr>
        <w:t xml:space="preserve"> الذي يحدد فيه النظام مدة معينة يسقط بعدها ما كان مقررا للشخص قانونا.</w:t>
      </w:r>
    </w:p>
    <w:p w14:paraId="15F61C67" w14:textId="344C415C" w:rsidR="00FC6C58" w:rsidRPr="00FC6C58" w:rsidRDefault="00FC6C58" w:rsidP="00FC6C58">
      <w:pPr>
        <w:spacing w:after="240" w:line="360" w:lineRule="auto"/>
        <w:jc w:val="both"/>
        <w:rPr>
          <w:rFonts w:ascii="Traditional Arabic" w:eastAsia="Calibri" w:hAnsi="Traditional Arabic" w:cs="Traditional Arabic"/>
          <w:sz w:val="40"/>
          <w:szCs w:val="40"/>
          <w:rtl/>
        </w:rPr>
      </w:pPr>
      <w:r>
        <w:rPr>
          <w:rFonts w:ascii="Traditional Arabic" w:eastAsia="Calibri" w:hAnsi="Traditional Arabic" w:cs="Traditional Arabic" w:hint="cs"/>
          <w:sz w:val="40"/>
          <w:szCs w:val="40"/>
          <w:rtl/>
        </w:rPr>
        <w:t>ب-التقادم المكسب: وهو التقادم الذي بسببه يمكن للشخص اكتساب الحقوق</w:t>
      </w:r>
      <w:bookmarkEnd w:id="13"/>
      <w:r w:rsidR="00B947D6">
        <w:rPr>
          <w:rFonts w:ascii="Traditional Arabic" w:eastAsia="Calibri" w:hAnsi="Traditional Arabic" w:cs="Traditional Arabic" w:hint="cs"/>
          <w:sz w:val="40"/>
          <w:szCs w:val="40"/>
          <w:rtl/>
        </w:rPr>
        <w:t>، وسيتناول الباحث تفاصيل ذلك في الفرع التالي.</w:t>
      </w:r>
    </w:p>
    <w:p w14:paraId="194B0689" w14:textId="77777777" w:rsidR="00C406BC" w:rsidRPr="00C406BC" w:rsidRDefault="00C406BC" w:rsidP="00C406BC">
      <w:pPr>
        <w:spacing w:after="240" w:line="360" w:lineRule="auto"/>
        <w:ind w:firstLine="720"/>
        <w:jc w:val="both"/>
        <w:rPr>
          <w:rFonts w:ascii="Traditional Arabic" w:eastAsia="Calibri" w:hAnsi="Traditional Arabic" w:cs="Traditional Arabic"/>
          <w:sz w:val="40"/>
          <w:szCs w:val="40"/>
          <w:rtl/>
        </w:rPr>
      </w:pPr>
    </w:p>
    <w:p w14:paraId="6E466FD6" w14:textId="77777777" w:rsidR="00C406BC" w:rsidRPr="00C406BC" w:rsidRDefault="00C406BC" w:rsidP="00C406BC">
      <w:pPr>
        <w:spacing w:after="240" w:line="360" w:lineRule="auto"/>
        <w:ind w:firstLine="720"/>
        <w:jc w:val="both"/>
        <w:rPr>
          <w:rFonts w:ascii="Traditional Arabic" w:eastAsia="Calibri" w:hAnsi="Traditional Arabic" w:cs="Traditional Arabic"/>
          <w:sz w:val="40"/>
          <w:szCs w:val="40"/>
          <w:rtl/>
        </w:rPr>
      </w:pPr>
    </w:p>
    <w:p w14:paraId="1F3D5C2E" w14:textId="77777777" w:rsidR="00C406BC" w:rsidRPr="00C406BC" w:rsidRDefault="00C406BC" w:rsidP="00C406BC">
      <w:pPr>
        <w:spacing w:after="240" w:line="360" w:lineRule="auto"/>
        <w:ind w:firstLine="720"/>
        <w:jc w:val="both"/>
        <w:rPr>
          <w:rFonts w:ascii="Traditional Arabic" w:eastAsia="Calibri" w:hAnsi="Traditional Arabic" w:cs="Traditional Arabic"/>
          <w:sz w:val="40"/>
          <w:szCs w:val="40"/>
          <w:rtl/>
        </w:rPr>
      </w:pPr>
    </w:p>
    <w:p w14:paraId="100618DF" w14:textId="77777777" w:rsidR="00C406BC" w:rsidRPr="00C406BC" w:rsidRDefault="00C406BC" w:rsidP="00C406BC">
      <w:pPr>
        <w:spacing w:after="240" w:line="360" w:lineRule="auto"/>
        <w:ind w:firstLine="720"/>
        <w:jc w:val="both"/>
        <w:rPr>
          <w:rFonts w:ascii="Traditional Arabic" w:eastAsia="Calibri" w:hAnsi="Traditional Arabic" w:cs="Traditional Arabic"/>
          <w:sz w:val="40"/>
          <w:szCs w:val="40"/>
        </w:rPr>
      </w:pPr>
    </w:p>
    <w:p w14:paraId="0907B39E" w14:textId="77777777" w:rsidR="00286DB0" w:rsidRPr="00C406BC" w:rsidRDefault="00286DB0" w:rsidP="00C406BC">
      <w:pPr>
        <w:spacing w:after="240" w:line="360" w:lineRule="auto"/>
        <w:ind w:firstLine="720"/>
        <w:jc w:val="both"/>
        <w:rPr>
          <w:rFonts w:ascii="Traditional Arabic" w:eastAsia="Calibri" w:hAnsi="Traditional Arabic" w:cs="Traditional Arabic"/>
          <w:sz w:val="40"/>
          <w:szCs w:val="40"/>
        </w:rPr>
      </w:pPr>
      <w:r w:rsidRPr="00C406BC">
        <w:rPr>
          <w:rFonts w:ascii="Traditional Arabic" w:eastAsia="Calibri" w:hAnsi="Traditional Arabic" w:cs="Traditional Arabic"/>
          <w:b/>
          <w:bCs/>
          <w:sz w:val="40"/>
          <w:szCs w:val="40"/>
          <w:rtl/>
        </w:rPr>
        <w:t>الفرع الثاني: أنواع التقادم</w:t>
      </w:r>
      <w:r w:rsidRPr="00C406BC">
        <w:rPr>
          <w:rFonts w:ascii="Traditional Arabic" w:eastAsia="Calibri" w:hAnsi="Traditional Arabic" w:cs="Traditional Arabic"/>
          <w:b/>
          <w:bCs/>
          <w:sz w:val="40"/>
          <w:szCs w:val="40"/>
        </w:rPr>
        <w:t>:</w:t>
      </w:r>
    </w:p>
    <w:p w14:paraId="07827644" w14:textId="77777777" w:rsidR="00286DB0" w:rsidRPr="00C406BC" w:rsidRDefault="00286DB0" w:rsidP="00C406BC">
      <w:pPr>
        <w:spacing w:after="240" w:line="360" w:lineRule="auto"/>
        <w:ind w:firstLine="720"/>
        <w:jc w:val="both"/>
        <w:rPr>
          <w:rFonts w:ascii="Traditional Arabic" w:eastAsia="Calibri" w:hAnsi="Traditional Arabic" w:cs="Traditional Arabic"/>
          <w:sz w:val="40"/>
          <w:szCs w:val="40"/>
          <w:rtl/>
        </w:rPr>
      </w:pPr>
      <w:r w:rsidRPr="00C406BC">
        <w:rPr>
          <w:rFonts w:ascii="Traditional Arabic" w:eastAsia="Calibri" w:hAnsi="Traditional Arabic" w:cs="Traditional Arabic"/>
          <w:b/>
          <w:bCs/>
          <w:sz w:val="40"/>
          <w:szCs w:val="40"/>
          <w:rtl/>
        </w:rPr>
        <w:t>التقادم المسقط</w:t>
      </w:r>
    </w:p>
    <w:p w14:paraId="32FFB538" w14:textId="6791C25B" w:rsidR="00286DB0" w:rsidRPr="00C406BC" w:rsidRDefault="00286DB0" w:rsidP="00C406BC">
      <w:pPr>
        <w:spacing w:after="240" w:line="360" w:lineRule="auto"/>
        <w:ind w:firstLine="720"/>
        <w:jc w:val="both"/>
        <w:rPr>
          <w:rFonts w:ascii="Traditional Arabic" w:eastAsia="Calibri" w:hAnsi="Traditional Arabic" w:cs="Traditional Arabic"/>
          <w:sz w:val="40"/>
          <w:szCs w:val="40"/>
        </w:rPr>
      </w:pPr>
      <w:bookmarkStart w:id="14" w:name="_Hlk180668125"/>
      <w:r w:rsidRPr="00C406BC">
        <w:rPr>
          <w:rFonts w:ascii="Traditional Arabic" w:eastAsia="Calibri" w:hAnsi="Traditional Arabic" w:cs="Traditional Arabic"/>
          <w:sz w:val="40"/>
          <w:szCs w:val="40"/>
          <w:rtl/>
        </w:rPr>
        <w:t>التقادم المسقط هو آلية قانونية تؤدي إلى سقوط الحق في المطالبة بالدين</w:t>
      </w:r>
      <w:r w:rsidR="00B947D6">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أو الالتزام بعد مرور فترة زمنية معينة دون أن يقوم الدائن بإجراءات قضائية للمطالبة بحقه</w:t>
      </w:r>
      <w:r w:rsidR="00B947D6">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w:t>
      </w:r>
      <w:r w:rsidR="00B947D6">
        <w:rPr>
          <w:rFonts w:ascii="Traditional Arabic" w:eastAsia="Calibri" w:hAnsi="Traditional Arabic" w:cs="Traditional Arabic" w:hint="cs"/>
          <w:sz w:val="40"/>
          <w:szCs w:val="40"/>
          <w:rtl/>
        </w:rPr>
        <w:t>و</w:t>
      </w:r>
      <w:r w:rsidRPr="00C406BC">
        <w:rPr>
          <w:rFonts w:ascii="Traditional Arabic" w:eastAsia="Calibri" w:hAnsi="Traditional Arabic" w:cs="Traditional Arabic"/>
          <w:sz w:val="40"/>
          <w:szCs w:val="40"/>
          <w:rtl/>
        </w:rPr>
        <w:t xml:space="preserve">يهدف </w:t>
      </w:r>
      <w:r w:rsidR="006B1A5C" w:rsidRPr="00C406BC">
        <w:rPr>
          <w:rFonts w:ascii="Traditional Arabic" w:eastAsia="Calibri" w:hAnsi="Traditional Arabic" w:cs="Traditional Arabic" w:hint="cs"/>
          <w:sz w:val="40"/>
          <w:szCs w:val="40"/>
          <w:rtl/>
        </w:rPr>
        <w:t xml:space="preserve">النظام </w:t>
      </w:r>
      <w:r w:rsidR="006B1A5C">
        <w:rPr>
          <w:rFonts w:ascii="Traditional Arabic" w:eastAsia="Calibri" w:hAnsi="Traditional Arabic" w:cs="Traditional Arabic" w:hint="cs"/>
          <w:sz w:val="40"/>
          <w:szCs w:val="40"/>
          <w:rtl/>
        </w:rPr>
        <w:t>بإقرار</w:t>
      </w:r>
      <w:r w:rsidR="00B947D6">
        <w:rPr>
          <w:rFonts w:ascii="Traditional Arabic" w:eastAsia="Calibri" w:hAnsi="Traditional Arabic" w:cs="Traditional Arabic" w:hint="cs"/>
          <w:sz w:val="40"/>
          <w:szCs w:val="40"/>
          <w:rtl/>
        </w:rPr>
        <w:t xml:space="preserve"> التقادم المسقط </w:t>
      </w:r>
      <w:r w:rsidRPr="00C406BC">
        <w:rPr>
          <w:rFonts w:ascii="Traditional Arabic" w:eastAsia="Calibri" w:hAnsi="Traditional Arabic" w:cs="Traditional Arabic"/>
          <w:sz w:val="40"/>
          <w:szCs w:val="40"/>
          <w:rtl/>
        </w:rPr>
        <w:t>إلى استقرار المعاملات</w:t>
      </w:r>
      <w:r w:rsidR="00B947D6">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وحماية المدين من المطالبات التي قد تكون قديمة ومن الصعب إثباتها</w:t>
      </w:r>
      <w:bookmarkEnd w:id="14"/>
      <w:r w:rsidRPr="00C406BC">
        <w:rPr>
          <w:rFonts w:ascii="Traditional Arabic" w:eastAsia="Calibri" w:hAnsi="Traditional Arabic" w:cs="Traditional Arabic"/>
          <w:sz w:val="40"/>
          <w:szCs w:val="40"/>
        </w:rPr>
        <w:t>.</w:t>
      </w:r>
      <w:r w:rsidRPr="00C406BC">
        <w:rPr>
          <w:rFonts w:ascii="Traditional Arabic" w:eastAsia="Calibri" w:hAnsi="Traditional Arabic" w:cs="Traditional Arabic"/>
          <w:sz w:val="40"/>
          <w:szCs w:val="40"/>
          <w:vertAlign w:val="superscript"/>
        </w:rPr>
        <w:footnoteReference w:id="6"/>
      </w:r>
    </w:p>
    <w:p w14:paraId="16D7E6C2" w14:textId="67B68641" w:rsidR="00286DB0" w:rsidRPr="00C406BC" w:rsidRDefault="00286DB0" w:rsidP="00C406BC">
      <w:pPr>
        <w:spacing w:after="240" w:line="360" w:lineRule="auto"/>
        <w:ind w:firstLine="720"/>
        <w:jc w:val="both"/>
        <w:rPr>
          <w:rFonts w:ascii="Traditional Arabic" w:eastAsia="Calibri" w:hAnsi="Traditional Arabic" w:cs="Traditional Arabic"/>
          <w:sz w:val="40"/>
          <w:szCs w:val="40"/>
        </w:rPr>
      </w:pPr>
      <w:r w:rsidRPr="00C406BC">
        <w:rPr>
          <w:rFonts w:ascii="Traditional Arabic" w:eastAsia="Calibri" w:hAnsi="Traditional Arabic" w:cs="Traditional Arabic"/>
          <w:sz w:val="40"/>
          <w:szCs w:val="40"/>
          <w:rtl/>
        </w:rPr>
        <w:t>يعتمد التقادم المسقط على مرور الزمن المحدد قانونيًا دون انقطاع</w:t>
      </w:r>
      <w:r w:rsidR="00B947D6">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w:t>
      </w:r>
      <w:r w:rsidR="00B947D6">
        <w:rPr>
          <w:rFonts w:ascii="Traditional Arabic" w:eastAsia="Calibri" w:hAnsi="Traditional Arabic" w:cs="Traditional Arabic" w:hint="cs"/>
          <w:sz w:val="40"/>
          <w:szCs w:val="40"/>
          <w:rtl/>
        </w:rPr>
        <w:t>و</w:t>
      </w:r>
      <w:r w:rsidRPr="00C406BC">
        <w:rPr>
          <w:rFonts w:ascii="Traditional Arabic" w:eastAsia="Calibri" w:hAnsi="Traditional Arabic" w:cs="Traditional Arabic"/>
          <w:sz w:val="40"/>
          <w:szCs w:val="40"/>
          <w:rtl/>
        </w:rPr>
        <w:t>هذا الزمن يتفاوت بناءً على نوع الالتزام</w:t>
      </w:r>
      <w:r w:rsidR="00B947D6">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والقوانين المحددة لكل دولة، ويهدف التقادم المسقط إلى حماية المدين من المطالبات القديمة التي قد تكون الأدلة على صحتها قد </w:t>
      </w:r>
      <w:r w:rsidR="00B947D6">
        <w:rPr>
          <w:rFonts w:ascii="Traditional Arabic" w:eastAsia="Calibri" w:hAnsi="Traditional Arabic" w:cs="Traditional Arabic" w:hint="cs"/>
          <w:sz w:val="40"/>
          <w:szCs w:val="40"/>
          <w:rtl/>
        </w:rPr>
        <w:t>ضاعت</w:t>
      </w:r>
      <w:r w:rsidRPr="00C406BC">
        <w:rPr>
          <w:rFonts w:ascii="Traditional Arabic" w:eastAsia="Calibri" w:hAnsi="Traditional Arabic" w:cs="Traditional Arabic"/>
          <w:sz w:val="40"/>
          <w:szCs w:val="40"/>
          <w:rtl/>
        </w:rPr>
        <w:t xml:space="preserve"> بمرور الزمن، وبعد انقضاء فترة التقادم، يسقط الحق في المطالبة بالالتزام، وبالتالي لا يمكن للدائن المطالبة بحقه قضائيًا، ويسري </w:t>
      </w:r>
      <w:r w:rsidRPr="00C406BC">
        <w:rPr>
          <w:rFonts w:ascii="Traditional Arabic" w:eastAsia="Calibri" w:hAnsi="Traditional Arabic" w:cs="Traditional Arabic"/>
          <w:sz w:val="40"/>
          <w:szCs w:val="40"/>
          <w:rtl/>
        </w:rPr>
        <w:lastRenderedPageBreak/>
        <w:t>أثر التقادم المسقط على الالتزامات المدنية</w:t>
      </w:r>
      <w:r w:rsidR="00B947D6">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والتجارية على حد سواء، ولكن مدة التقادم قد تختلف بين النوعين</w:t>
      </w:r>
      <w:r w:rsidRPr="00C406BC">
        <w:rPr>
          <w:rFonts w:ascii="Traditional Arabic" w:eastAsia="Calibri" w:hAnsi="Traditional Arabic" w:cs="Traditional Arabic"/>
          <w:sz w:val="40"/>
          <w:szCs w:val="40"/>
        </w:rPr>
        <w:t>.</w:t>
      </w:r>
      <w:r w:rsidRPr="00C406BC">
        <w:rPr>
          <w:rFonts w:ascii="Traditional Arabic" w:eastAsia="Calibri" w:hAnsi="Traditional Arabic" w:cs="Traditional Arabic"/>
          <w:sz w:val="40"/>
          <w:szCs w:val="40"/>
          <w:vertAlign w:val="superscript"/>
        </w:rPr>
        <w:footnoteReference w:id="7"/>
      </w:r>
    </w:p>
    <w:p w14:paraId="73BC69E7" w14:textId="19184489" w:rsidR="00286DB0" w:rsidRPr="00C406BC" w:rsidRDefault="00286DB0" w:rsidP="00C406BC">
      <w:pPr>
        <w:spacing w:after="240" w:line="360" w:lineRule="auto"/>
        <w:ind w:firstLine="720"/>
        <w:jc w:val="both"/>
        <w:rPr>
          <w:rFonts w:ascii="Traditional Arabic" w:eastAsia="Calibri" w:hAnsi="Traditional Arabic" w:cs="Traditional Arabic"/>
          <w:sz w:val="40"/>
          <w:szCs w:val="40"/>
        </w:rPr>
      </w:pPr>
      <w:r w:rsidRPr="00C406BC">
        <w:rPr>
          <w:rFonts w:ascii="Traditional Arabic" w:eastAsia="Calibri" w:hAnsi="Traditional Arabic" w:cs="Traditional Arabic"/>
          <w:sz w:val="40"/>
          <w:szCs w:val="40"/>
          <w:rtl/>
        </w:rPr>
        <w:t>في نظام الأوراق التجارية السعودي، يسقط حق حامل الشيك في المطالبة بقيمته بعد مرور ثلاث سنوات من تاريخ الاستحقاق دون اتخاذ إجراءات قانونية للمطالبة بالشيك</w:t>
      </w:r>
      <w:r w:rsidR="00B947D6">
        <w:rPr>
          <w:rFonts w:ascii="Traditional Arabic" w:eastAsia="Calibri" w:hAnsi="Traditional Arabic" w:cs="Traditional Arabic" w:hint="cs"/>
          <w:sz w:val="40"/>
          <w:szCs w:val="40"/>
          <w:rtl/>
        </w:rPr>
        <w:t xml:space="preserve">، </w:t>
      </w:r>
      <w:r w:rsidR="00B947D6">
        <w:rPr>
          <w:rFonts w:ascii="Traditional Arabic" w:eastAsia="MS Gothic" w:hAnsi="Traditional Arabic" w:cs="Traditional Arabic" w:hint="cs"/>
          <w:sz w:val="40"/>
          <w:szCs w:val="40"/>
          <w:rtl/>
        </w:rPr>
        <w:t>و</w:t>
      </w:r>
      <w:r w:rsidR="00B947D6">
        <w:rPr>
          <w:rFonts w:ascii="Traditional Arabic" w:eastAsia="Calibri" w:hAnsi="Traditional Arabic" w:cs="Traditional Arabic" w:hint="cs"/>
          <w:sz w:val="40"/>
          <w:szCs w:val="40"/>
          <w:rtl/>
        </w:rPr>
        <w:t>ت</w:t>
      </w:r>
      <w:r w:rsidRPr="00C406BC">
        <w:rPr>
          <w:rFonts w:ascii="Traditional Arabic" w:eastAsia="Calibri" w:hAnsi="Traditional Arabic" w:cs="Traditional Arabic"/>
          <w:sz w:val="40"/>
          <w:szCs w:val="40"/>
          <w:rtl/>
        </w:rPr>
        <w:t>ختلف مدة التقادم المسقط بناءً على نوع الالتزام، فمثلاً التقادم في قضايا العقود المدنية قد يكون أطول مقارنة بالتقادم في قضايا الشيكات</w:t>
      </w:r>
      <w:r w:rsidRPr="00C406BC">
        <w:rPr>
          <w:rFonts w:ascii="Traditional Arabic" w:eastAsia="Calibri" w:hAnsi="Traditional Arabic" w:cs="Traditional Arabic"/>
          <w:sz w:val="40"/>
          <w:szCs w:val="40"/>
        </w:rPr>
        <w:t>.</w:t>
      </w:r>
      <w:r w:rsidRPr="00C406BC">
        <w:rPr>
          <w:rFonts w:ascii="Traditional Arabic" w:eastAsia="Calibri" w:hAnsi="Traditional Arabic" w:cs="Traditional Arabic"/>
          <w:sz w:val="40"/>
          <w:szCs w:val="40"/>
          <w:vertAlign w:val="superscript"/>
        </w:rPr>
        <w:footnoteReference w:id="8"/>
      </w:r>
    </w:p>
    <w:p w14:paraId="1E37C36C" w14:textId="6DDBCDE6" w:rsidR="00286DB0" w:rsidRPr="00C406BC" w:rsidRDefault="00B947D6" w:rsidP="00C406BC">
      <w:pPr>
        <w:spacing w:after="240" w:line="360" w:lineRule="auto"/>
        <w:ind w:firstLine="720"/>
        <w:jc w:val="both"/>
        <w:rPr>
          <w:rFonts w:ascii="Traditional Arabic" w:eastAsia="Calibri" w:hAnsi="Traditional Arabic" w:cs="Traditional Arabic"/>
          <w:sz w:val="40"/>
          <w:szCs w:val="40"/>
          <w:rtl/>
        </w:rPr>
      </w:pPr>
      <w:r>
        <w:rPr>
          <w:rFonts w:ascii="Traditional Arabic" w:eastAsia="Calibri" w:hAnsi="Traditional Arabic" w:cs="Traditional Arabic" w:hint="cs"/>
          <w:sz w:val="40"/>
          <w:szCs w:val="40"/>
          <w:rtl/>
        </w:rPr>
        <w:t xml:space="preserve">إن </w:t>
      </w:r>
      <w:r w:rsidR="00286DB0" w:rsidRPr="00C406BC">
        <w:rPr>
          <w:rFonts w:ascii="Traditional Arabic" w:eastAsia="Calibri" w:hAnsi="Traditional Arabic" w:cs="Traditional Arabic"/>
          <w:sz w:val="40"/>
          <w:szCs w:val="40"/>
          <w:rtl/>
        </w:rPr>
        <w:t>التقادم المسقط في نظام الأوراق التجارية السعودي يهدف إلى تنظيم ال</w:t>
      </w:r>
      <w:r>
        <w:rPr>
          <w:rFonts w:ascii="Traditional Arabic" w:eastAsia="Calibri" w:hAnsi="Traditional Arabic" w:cs="Traditional Arabic" w:hint="cs"/>
          <w:sz w:val="40"/>
          <w:szCs w:val="40"/>
          <w:rtl/>
        </w:rPr>
        <w:t>م</w:t>
      </w:r>
      <w:r w:rsidR="00286DB0" w:rsidRPr="00C406BC">
        <w:rPr>
          <w:rFonts w:ascii="Traditional Arabic" w:eastAsia="Calibri" w:hAnsi="Traditional Arabic" w:cs="Traditional Arabic"/>
          <w:sz w:val="40"/>
          <w:szCs w:val="40"/>
          <w:rtl/>
        </w:rPr>
        <w:t>عاملات التجارية</w:t>
      </w:r>
      <w:r>
        <w:rPr>
          <w:rFonts w:ascii="Traditional Arabic" w:eastAsia="Calibri" w:hAnsi="Traditional Arabic" w:cs="Traditional Arabic" w:hint="cs"/>
          <w:sz w:val="40"/>
          <w:szCs w:val="40"/>
          <w:rtl/>
        </w:rPr>
        <w:t>، وحمايتها،</w:t>
      </w:r>
      <w:r w:rsidR="00286DB0" w:rsidRPr="00C406BC">
        <w:rPr>
          <w:rFonts w:ascii="Traditional Arabic" w:eastAsia="Calibri" w:hAnsi="Traditional Arabic" w:cs="Traditional Arabic"/>
          <w:sz w:val="40"/>
          <w:szCs w:val="40"/>
          <w:rtl/>
        </w:rPr>
        <w:t xml:space="preserve"> وضمان استقرارها، ويسقط حق حامل الشيك في المطالبة بقيمته إذا لم يتخذ الإجراءات القانونية اللازمة خلال ثلاث سنوات من تاريخ الاستحقاق، و</w:t>
      </w:r>
      <w:r>
        <w:rPr>
          <w:rFonts w:ascii="Traditional Arabic" w:eastAsia="Calibri" w:hAnsi="Traditional Arabic" w:cs="Traditional Arabic" w:hint="cs"/>
          <w:sz w:val="40"/>
          <w:szCs w:val="40"/>
          <w:rtl/>
        </w:rPr>
        <w:t xml:space="preserve">لا شك أن </w:t>
      </w:r>
      <w:r w:rsidR="00286DB0" w:rsidRPr="00C406BC">
        <w:rPr>
          <w:rFonts w:ascii="Traditional Arabic" w:eastAsia="Calibri" w:hAnsi="Traditional Arabic" w:cs="Traditional Arabic"/>
          <w:sz w:val="40"/>
          <w:szCs w:val="40"/>
          <w:rtl/>
        </w:rPr>
        <w:t>هذا يعزز من استقرار المعاملات المالية</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ويحد من المنازعات القضائية التي قد تنشأ بعد فترة طويلة من الزمن</w:t>
      </w:r>
      <w:r>
        <w:rPr>
          <w:rFonts w:ascii="Traditional Arabic" w:eastAsia="MS Gothic" w:hAnsi="Traditional Arabic" w:cs="Traditional Arabic" w:hint="cs"/>
          <w:sz w:val="40"/>
          <w:szCs w:val="40"/>
          <w:rtl/>
        </w:rPr>
        <w:t>،</w:t>
      </w:r>
      <w:r w:rsidR="00286DB0" w:rsidRPr="00C406BC">
        <w:rPr>
          <w:rFonts w:ascii="Traditional Arabic" w:eastAsia="MS Gothic" w:hAnsi="Traditional Arabic" w:cs="Traditional Arabic"/>
          <w:sz w:val="40"/>
          <w:szCs w:val="40"/>
          <w:rtl/>
        </w:rPr>
        <w:t xml:space="preserve"> وبا</w:t>
      </w:r>
      <w:r w:rsidR="00286DB0" w:rsidRPr="00C406BC">
        <w:rPr>
          <w:rFonts w:ascii="Traditional Arabic" w:eastAsia="Calibri" w:hAnsi="Traditional Arabic" w:cs="Traditional Arabic"/>
          <w:sz w:val="40"/>
          <w:szCs w:val="40"/>
          <w:rtl/>
        </w:rPr>
        <w:t>ختصار</w:t>
      </w:r>
      <w:r>
        <w:rPr>
          <w:rFonts w:ascii="Traditional Arabic" w:eastAsia="Calibri" w:hAnsi="Traditional Arabic" w:cs="Traditional Arabic" w:hint="cs"/>
          <w:sz w:val="40"/>
          <w:szCs w:val="40"/>
          <w:rtl/>
        </w:rPr>
        <w:t>، فإن</w:t>
      </w:r>
      <w:r w:rsidR="00286DB0" w:rsidRPr="00C406BC">
        <w:rPr>
          <w:rFonts w:ascii="Traditional Arabic" w:eastAsia="Calibri" w:hAnsi="Traditional Arabic" w:cs="Traditional Arabic"/>
          <w:sz w:val="40"/>
          <w:szCs w:val="40"/>
          <w:rtl/>
        </w:rPr>
        <w:t xml:space="preserve"> التقادم المسقط هو وسيلة قانونية تهدف إلى تحديد فترة زمنية محددة </w:t>
      </w:r>
      <w:r w:rsidR="00286DB0" w:rsidRPr="00C406BC">
        <w:rPr>
          <w:rFonts w:ascii="Traditional Arabic" w:eastAsia="Calibri" w:hAnsi="Traditional Arabic" w:cs="Traditional Arabic"/>
          <w:sz w:val="40"/>
          <w:szCs w:val="40"/>
          <w:rtl/>
        </w:rPr>
        <w:lastRenderedPageBreak/>
        <w:t>لممارسة الحق في المطالبة بالالتزامات، مما يضمن استقرار المعاملات</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وحماية المدينين من المطالبات القديمة التي قد تكون صعبة الإثبات بعد مرور زمن طويل</w:t>
      </w:r>
      <w:r w:rsidR="00286DB0" w:rsidRPr="00C406BC">
        <w:rPr>
          <w:rFonts w:ascii="Traditional Arabic" w:eastAsia="Calibri" w:hAnsi="Traditional Arabic" w:cs="Traditional Arabic"/>
          <w:sz w:val="40"/>
          <w:szCs w:val="40"/>
        </w:rPr>
        <w:t>.</w:t>
      </w:r>
    </w:p>
    <w:p w14:paraId="5C50CD7D" w14:textId="08630043" w:rsidR="00286DB0" w:rsidRPr="00C406BC" w:rsidRDefault="00286DB0" w:rsidP="00C406BC">
      <w:pPr>
        <w:spacing w:after="240" w:line="360" w:lineRule="auto"/>
        <w:ind w:firstLine="720"/>
        <w:jc w:val="both"/>
        <w:rPr>
          <w:rFonts w:ascii="Traditional Arabic" w:eastAsia="Calibri" w:hAnsi="Traditional Arabic" w:cs="Traditional Arabic"/>
          <w:sz w:val="40"/>
          <w:szCs w:val="40"/>
        </w:rPr>
      </w:pPr>
      <w:r w:rsidRPr="00C406BC">
        <w:rPr>
          <w:rFonts w:ascii="Traditional Arabic" w:eastAsia="Calibri" w:hAnsi="Traditional Arabic" w:cs="Traditional Arabic"/>
          <w:sz w:val="40"/>
          <w:szCs w:val="40"/>
          <w:rtl/>
        </w:rPr>
        <w:t>يُلاحَظ أن التقادم المسقط، الذي يختلف عن التقادم المكسب، يُطبَّق على الحقوق العينية والشخصية على حد سواء</w:t>
      </w:r>
      <w:r w:rsidR="00B947D6">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فالشخص الذي يُتَراخى في المطالبة بحقه لمدة معينة، يفقد ذلك الحق إذا لم يطالب به خلال المدة المحددة بالنظام</w:t>
      </w:r>
      <w:r w:rsidR="00B947D6">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فإذا تخلَّف الدائن عن المطالبة بحقه لمدة طويلة، فإنه يُفترَض أنه قد أهمل هذا الحق، وبالتالي يصبح الحق قد استوفي</w:t>
      </w:r>
      <w:r w:rsidRPr="00C406BC">
        <w:rPr>
          <w:rFonts w:ascii="Traditional Arabic" w:eastAsia="Calibri" w:hAnsi="Traditional Arabic" w:cs="Traditional Arabic"/>
          <w:sz w:val="40"/>
          <w:szCs w:val="40"/>
        </w:rPr>
        <w:t>.</w:t>
      </w:r>
    </w:p>
    <w:p w14:paraId="22E82AA6" w14:textId="2B017836" w:rsidR="00286DB0" w:rsidRPr="00C406BC" w:rsidRDefault="00286DB0" w:rsidP="00C406BC">
      <w:pPr>
        <w:spacing w:after="240" w:line="360" w:lineRule="auto"/>
        <w:ind w:firstLine="720"/>
        <w:jc w:val="both"/>
        <w:rPr>
          <w:rFonts w:ascii="Traditional Arabic" w:eastAsia="Calibri" w:hAnsi="Traditional Arabic" w:cs="Traditional Arabic"/>
          <w:sz w:val="40"/>
          <w:szCs w:val="40"/>
          <w:rtl/>
        </w:rPr>
      </w:pPr>
      <w:r w:rsidRPr="00C406BC">
        <w:rPr>
          <w:rFonts w:ascii="Traditional Arabic" w:eastAsia="Calibri" w:hAnsi="Traditional Arabic" w:cs="Traditional Arabic"/>
          <w:sz w:val="40"/>
          <w:szCs w:val="40"/>
          <w:rtl/>
        </w:rPr>
        <w:t xml:space="preserve">ويُنقسم التقادم المسقط إلى عدة أقسام، </w:t>
      </w:r>
      <w:r w:rsidR="002746CB">
        <w:rPr>
          <w:rFonts w:ascii="Traditional Arabic" w:eastAsia="Calibri" w:hAnsi="Traditional Arabic" w:cs="Traditional Arabic" w:hint="cs"/>
          <w:sz w:val="40"/>
          <w:szCs w:val="40"/>
          <w:rtl/>
        </w:rPr>
        <w:t>منها</w:t>
      </w:r>
      <w:r w:rsidRPr="00C406BC">
        <w:rPr>
          <w:rFonts w:ascii="Traditional Arabic" w:eastAsia="Calibri" w:hAnsi="Traditional Arabic" w:cs="Traditional Arabic"/>
          <w:sz w:val="40"/>
          <w:szCs w:val="40"/>
          <w:rtl/>
        </w:rPr>
        <w:t>:</w:t>
      </w:r>
    </w:p>
    <w:p w14:paraId="3FB8EDE8" w14:textId="5FA13C46" w:rsidR="00286DB0" w:rsidRPr="00C406BC" w:rsidRDefault="002746CB" w:rsidP="002746CB">
      <w:pPr>
        <w:spacing w:after="240" w:line="360" w:lineRule="auto"/>
        <w:contextualSpacing/>
        <w:jc w:val="both"/>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t>1-</w:t>
      </w:r>
      <w:r w:rsidR="00286DB0" w:rsidRPr="00C406BC">
        <w:rPr>
          <w:rFonts w:ascii="Traditional Arabic" w:eastAsia="Calibri" w:hAnsi="Traditional Arabic" w:cs="Traditional Arabic"/>
          <w:sz w:val="40"/>
          <w:szCs w:val="40"/>
          <w:rtl/>
        </w:rPr>
        <w:t>التقادم العادي: يعتمد هذا النوع من التقادم على فكرة أن بقاء الحقوق معلقة لمدة طويلة يؤثر سلبًا على المصلحة العامة، مما يؤدي إلى عدم استقرار المعاملات في المجتمع وتحميل الأشخاص أعباء مالية قد لا يكونون على قدر استيعابها</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وبالتالي، فإن من يتَراخى في المطالبة بحقه لمدة طويلة دون عذر، يُفتَرَض أنه قد أهمل هذا الحق</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ولم يعد متمسكًا به، وفقًا لمبدأ براءة الذم</w:t>
      </w:r>
      <w:r>
        <w:rPr>
          <w:rFonts w:ascii="Traditional Arabic" w:eastAsia="Calibri" w:hAnsi="Traditional Arabic" w:cs="Traditional Arabic" w:hint="cs"/>
          <w:sz w:val="40"/>
          <w:szCs w:val="40"/>
          <w:rtl/>
        </w:rPr>
        <w:t xml:space="preserve">ة، </w:t>
      </w:r>
      <w:r w:rsidRPr="00C406BC">
        <w:rPr>
          <w:rFonts w:ascii="Traditional Arabic" w:eastAsia="Calibri" w:hAnsi="Traditional Arabic" w:cs="Traditional Arabic"/>
          <w:sz w:val="40"/>
          <w:szCs w:val="40"/>
          <w:rtl/>
        </w:rPr>
        <w:t>ومد</w:t>
      </w:r>
      <w:r>
        <w:rPr>
          <w:rFonts w:ascii="Traditional Arabic" w:eastAsia="Calibri" w:hAnsi="Traditional Arabic" w:cs="Traditional Arabic" w:hint="cs"/>
          <w:sz w:val="40"/>
          <w:szCs w:val="40"/>
          <w:rtl/>
        </w:rPr>
        <w:t>ة هذا النوع</w:t>
      </w:r>
      <w:r w:rsidRPr="00C406BC">
        <w:rPr>
          <w:rFonts w:ascii="Traditional Arabic" w:eastAsia="Calibri" w:hAnsi="Traditional Arabic" w:cs="Traditional Arabic"/>
          <w:sz w:val="40"/>
          <w:szCs w:val="40"/>
          <w:rtl/>
        </w:rPr>
        <w:t xml:space="preserve"> في بعض القوانين خمس عشرة سنة</w:t>
      </w:r>
      <w:r w:rsidR="00286DB0" w:rsidRPr="00C406BC">
        <w:rPr>
          <w:rFonts w:ascii="Traditional Arabic" w:eastAsia="Calibri" w:hAnsi="Traditional Arabic" w:cs="Traditional Arabic"/>
          <w:sz w:val="40"/>
          <w:szCs w:val="40"/>
        </w:rPr>
        <w:t>.</w:t>
      </w:r>
      <w:r w:rsidR="00286DB0" w:rsidRPr="00C406BC">
        <w:rPr>
          <w:rStyle w:val="a4"/>
          <w:rFonts w:ascii="Traditional Arabic" w:eastAsia="Calibri" w:hAnsi="Traditional Arabic" w:cs="Traditional Arabic"/>
          <w:sz w:val="40"/>
          <w:szCs w:val="40"/>
        </w:rPr>
        <w:footnoteReference w:id="9"/>
      </w:r>
    </w:p>
    <w:p w14:paraId="348BC1B0" w14:textId="5FE1A4C0" w:rsidR="00286DB0" w:rsidRPr="00C406BC" w:rsidRDefault="00286DB0" w:rsidP="00C406BC">
      <w:pPr>
        <w:spacing w:after="240" w:line="360" w:lineRule="auto"/>
        <w:ind w:left="360" w:firstLine="720"/>
        <w:contextualSpacing/>
        <w:jc w:val="both"/>
        <w:rPr>
          <w:rFonts w:ascii="Traditional Arabic" w:eastAsia="Calibri" w:hAnsi="Traditional Arabic" w:cs="Traditional Arabic"/>
          <w:sz w:val="40"/>
          <w:szCs w:val="40"/>
        </w:rPr>
      </w:pPr>
      <w:r w:rsidRPr="00C406BC">
        <w:rPr>
          <w:rFonts w:ascii="Traditional Arabic" w:eastAsia="Calibri" w:hAnsi="Traditional Arabic" w:cs="Traditional Arabic"/>
          <w:sz w:val="40"/>
          <w:szCs w:val="40"/>
          <w:rtl/>
        </w:rPr>
        <w:lastRenderedPageBreak/>
        <w:t>يُلاحَظ أن هذا النوع من التقادم لا يقوم على قرينة الوفاء التي تفترض أن الدائن لم يكن ساكتًا طوال تلك المدة مالم يكن قد استوفى حقه</w:t>
      </w:r>
      <w:r w:rsidR="002746CB">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ولذا، فإن المستفيد من التقادم في هذه الحالة يجوز له التمسك به، رغم اعترافه أنه لم يقم بالوفاء</w:t>
      </w:r>
      <w:r w:rsidR="002746CB">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وبناءً عليه، فإن الدائن لا يجوز له بعد ثبوت التقادم أن يثبت أنه لم يستوف حقه، حيث يسقط حقه بحكم النظام</w:t>
      </w:r>
      <w:r w:rsidR="002746CB">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ولا يبقى للمدين سوى حق طبيعي</w:t>
      </w:r>
      <w:r w:rsidR="002746CB">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أو أدبي لا يمكن المطالبة به</w:t>
      </w:r>
      <w:r w:rsidRPr="00C406BC">
        <w:rPr>
          <w:rFonts w:ascii="Traditional Arabic" w:eastAsia="Calibri" w:hAnsi="Traditional Arabic" w:cs="Traditional Arabic"/>
          <w:sz w:val="40"/>
          <w:szCs w:val="40"/>
        </w:rPr>
        <w:t>.</w:t>
      </w:r>
      <w:r w:rsidRPr="00C406BC">
        <w:rPr>
          <w:rStyle w:val="a4"/>
          <w:rFonts w:ascii="Traditional Arabic" w:eastAsia="Calibri" w:hAnsi="Traditional Arabic" w:cs="Traditional Arabic"/>
          <w:sz w:val="40"/>
          <w:szCs w:val="40"/>
        </w:rPr>
        <w:footnoteReference w:id="10"/>
      </w:r>
    </w:p>
    <w:p w14:paraId="70923FB2" w14:textId="7FE13693" w:rsidR="00286DB0" w:rsidRPr="00C406BC" w:rsidRDefault="002746CB" w:rsidP="002746CB">
      <w:pPr>
        <w:spacing w:after="240" w:line="360" w:lineRule="auto"/>
        <w:contextualSpacing/>
        <w:jc w:val="both"/>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t>2-</w:t>
      </w:r>
      <w:r w:rsidR="00286DB0" w:rsidRPr="00C406BC">
        <w:rPr>
          <w:rFonts w:ascii="Traditional Arabic" w:eastAsia="Calibri" w:hAnsi="Traditional Arabic" w:cs="Traditional Arabic"/>
          <w:sz w:val="40"/>
          <w:szCs w:val="40"/>
          <w:rtl/>
        </w:rPr>
        <w:t>التقادم الحولي: ويتعلق</w:t>
      </w:r>
      <w:r>
        <w:rPr>
          <w:rFonts w:ascii="Traditional Arabic" w:eastAsia="Calibri" w:hAnsi="Traditional Arabic" w:cs="Traditional Arabic" w:hint="cs"/>
          <w:sz w:val="40"/>
          <w:szCs w:val="40"/>
          <w:rtl/>
        </w:rPr>
        <w:t xml:space="preserve"> هذا النوع من التقادم</w:t>
      </w:r>
      <w:r w:rsidR="00286DB0" w:rsidRPr="00C406BC">
        <w:rPr>
          <w:rFonts w:ascii="Traditional Arabic" w:eastAsia="Calibri" w:hAnsi="Traditional Arabic" w:cs="Traditional Arabic"/>
          <w:sz w:val="40"/>
          <w:szCs w:val="40"/>
          <w:rtl/>
        </w:rPr>
        <w:t xml:space="preserve"> بأنواع معينة من الديون، ومدته تتراوح بين سنة</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سنتين</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ثلاث ونحو ذلك</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w:t>
      </w:r>
      <w:r w:rsidR="00801ADA">
        <w:rPr>
          <w:rFonts w:ascii="Traditional Arabic" w:eastAsia="Calibri" w:hAnsi="Traditional Arabic" w:cs="Traditional Arabic" w:hint="cs"/>
          <w:sz w:val="40"/>
          <w:szCs w:val="40"/>
          <w:rtl/>
        </w:rPr>
        <w:t>و</w:t>
      </w:r>
      <w:r w:rsidR="00286DB0" w:rsidRPr="00C406BC">
        <w:rPr>
          <w:rFonts w:ascii="Traditional Arabic" w:eastAsia="Calibri" w:hAnsi="Traditional Arabic" w:cs="Traditional Arabic"/>
          <w:sz w:val="40"/>
          <w:szCs w:val="40"/>
          <w:rtl/>
        </w:rPr>
        <w:t>تشمل الديون التي تدخل تحت هذا النوع الالتزامات التجارية، وحقوق المستخدمين</w:t>
      </w:r>
      <w:r w:rsidR="00801ADA">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والصناع</w:t>
      </w:r>
      <w:r w:rsidR="00801ADA">
        <w:rPr>
          <w:rFonts w:ascii="Traditional Arabic" w:eastAsia="Calibri" w:hAnsi="Traditional Arabic" w:cs="Traditional Arabic" w:hint="cs"/>
          <w:sz w:val="40"/>
          <w:szCs w:val="40"/>
          <w:rtl/>
        </w:rPr>
        <w:t xml:space="preserve">، </w:t>
      </w:r>
      <w:r w:rsidR="00286DB0" w:rsidRPr="00C406BC">
        <w:rPr>
          <w:rFonts w:ascii="Traditional Arabic" w:eastAsia="Calibri" w:hAnsi="Traditional Arabic" w:cs="Traditional Arabic"/>
          <w:sz w:val="40"/>
          <w:szCs w:val="40"/>
          <w:rtl/>
        </w:rPr>
        <w:t>والرسوم</w:t>
      </w:r>
      <w:r w:rsidR="00801ADA">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والضرائب</w:t>
      </w:r>
      <w:r w:rsidR="00801ADA">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والغرامات، وحقوق أصحاب الفنادق</w:t>
      </w:r>
      <w:r w:rsidR="00801ADA">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والمطاعم وغيرها</w:t>
      </w:r>
      <w:r w:rsidR="00801ADA">
        <w:rPr>
          <w:rFonts w:ascii="Traditional Arabic" w:eastAsia="Calibri" w:hAnsi="Traditional Arabic" w:cs="Traditional Arabic" w:hint="cs"/>
          <w:sz w:val="40"/>
          <w:szCs w:val="40"/>
          <w:rtl/>
        </w:rPr>
        <w:t>،</w:t>
      </w:r>
      <w:r w:rsidR="00801ADA" w:rsidRPr="00801ADA">
        <w:rPr>
          <w:rFonts w:ascii="Traditional Arabic" w:eastAsia="Calibri" w:hAnsi="Traditional Arabic" w:cs="Traditional Arabic"/>
          <w:sz w:val="40"/>
          <w:szCs w:val="40"/>
          <w:rtl/>
        </w:rPr>
        <w:t xml:space="preserve"> </w:t>
      </w:r>
      <w:r w:rsidR="00801ADA" w:rsidRPr="00C406BC">
        <w:rPr>
          <w:rFonts w:ascii="Traditional Arabic" w:eastAsia="Calibri" w:hAnsi="Traditional Arabic" w:cs="Traditional Arabic"/>
          <w:sz w:val="40"/>
          <w:szCs w:val="40"/>
          <w:rtl/>
        </w:rPr>
        <w:t>و</w:t>
      </w:r>
      <w:r w:rsidR="00801ADA">
        <w:rPr>
          <w:rFonts w:ascii="Traditional Arabic" w:eastAsia="Calibri" w:hAnsi="Traditional Arabic" w:cs="Traditional Arabic" w:hint="cs"/>
          <w:sz w:val="40"/>
          <w:szCs w:val="40"/>
          <w:rtl/>
        </w:rPr>
        <w:t>هذا النوع من التقادم</w:t>
      </w:r>
      <w:r w:rsidR="00801ADA" w:rsidRPr="00C406BC">
        <w:rPr>
          <w:rFonts w:ascii="Traditional Arabic" w:eastAsia="Calibri" w:hAnsi="Traditional Arabic" w:cs="Traditional Arabic"/>
          <w:sz w:val="40"/>
          <w:szCs w:val="40"/>
          <w:rtl/>
        </w:rPr>
        <w:t xml:space="preserve"> يختلف من بلد لآخر</w:t>
      </w:r>
      <w:r w:rsidR="00801ADA">
        <w:rPr>
          <w:rFonts w:ascii="Traditional Arabic" w:eastAsia="Calibri" w:hAnsi="Traditional Arabic" w:cs="Traditional Arabic" w:hint="cs"/>
          <w:sz w:val="40"/>
          <w:szCs w:val="40"/>
          <w:rtl/>
        </w:rPr>
        <w:t>.</w:t>
      </w:r>
    </w:p>
    <w:p w14:paraId="35A289CC" w14:textId="78BB0F29" w:rsidR="00286DB0" w:rsidRPr="00C406BC" w:rsidRDefault="00286DB0" w:rsidP="00C406BC">
      <w:pPr>
        <w:spacing w:after="240" w:line="360" w:lineRule="auto"/>
        <w:ind w:left="360" w:firstLine="720"/>
        <w:contextualSpacing/>
        <w:jc w:val="both"/>
        <w:rPr>
          <w:rFonts w:ascii="Traditional Arabic" w:eastAsia="Calibri" w:hAnsi="Traditional Arabic" w:cs="Traditional Arabic"/>
          <w:sz w:val="40"/>
          <w:szCs w:val="40"/>
          <w:rtl/>
        </w:rPr>
      </w:pPr>
      <w:r w:rsidRPr="00C406BC">
        <w:rPr>
          <w:rFonts w:ascii="Traditional Arabic" w:eastAsia="Calibri" w:hAnsi="Traditional Arabic" w:cs="Traditional Arabic"/>
          <w:sz w:val="40"/>
          <w:szCs w:val="40"/>
          <w:rtl/>
        </w:rPr>
        <w:t>يُلاحَظ أن الديون التي تدخل تحت التقادم الحولي قد لا يثبت الوفاء بها بمخالصة، وبالتالي يُستخدم هذا التقادم لإثبات التخلص من الديون</w:t>
      </w:r>
      <w:r w:rsidR="00801ADA">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ومن الأمثلة على هذا النوع من التقادم العقود التي تتطلب نشاطًا مستمرًا</w:t>
      </w:r>
      <w:r w:rsidR="00801ADA">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أو متجددًا</w:t>
      </w:r>
      <w:r w:rsidR="00801ADA">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عقود الاستئجار، وتعتمد قرينة التقادم الحولي على قرينة الوفاء، ويدخل تحت هذا النوع من التقادم ما</w:t>
      </w:r>
      <w:r w:rsidR="00801ADA">
        <w:rPr>
          <w:rFonts w:ascii="Traditional Arabic" w:eastAsia="Calibri" w:hAnsi="Traditional Arabic" w:cs="Traditional Arabic" w:hint="cs"/>
          <w:sz w:val="40"/>
          <w:szCs w:val="40"/>
          <w:rtl/>
        </w:rPr>
        <w:t xml:space="preserve"> </w:t>
      </w:r>
      <w:r w:rsidRPr="00C406BC">
        <w:rPr>
          <w:rFonts w:ascii="Traditional Arabic" w:eastAsia="Calibri" w:hAnsi="Traditional Arabic" w:cs="Traditional Arabic"/>
          <w:sz w:val="40"/>
          <w:szCs w:val="40"/>
          <w:rtl/>
        </w:rPr>
        <w:t xml:space="preserve">صدر به قرار مجلس </w:t>
      </w:r>
      <w:r w:rsidRPr="00C406BC">
        <w:rPr>
          <w:rFonts w:ascii="Traditional Arabic" w:eastAsia="Calibri" w:hAnsi="Traditional Arabic" w:cs="Traditional Arabic"/>
          <w:sz w:val="40"/>
          <w:szCs w:val="40"/>
          <w:rtl/>
        </w:rPr>
        <w:lastRenderedPageBreak/>
        <w:t>الوزراء السعودي رقم (٩٦٨) وتاريخ ١٣٩٢/٩/١٦هـ</w:t>
      </w:r>
      <w:r w:rsidR="00801ADA">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حيث فرق بين طائفتين من الحقوق، تسقط المطالبة بها تجاه الخزانة العامة للدولة</w:t>
      </w:r>
      <w:r w:rsidRPr="00C406BC">
        <w:rPr>
          <w:rFonts w:ascii="Traditional Arabic" w:eastAsia="Calibri" w:hAnsi="Traditional Arabic" w:cs="Traditional Arabic"/>
          <w:sz w:val="40"/>
          <w:szCs w:val="40"/>
        </w:rPr>
        <w:t>.</w:t>
      </w:r>
      <w:r w:rsidRPr="00C406BC">
        <w:rPr>
          <w:rFonts w:ascii="Traditional Arabic" w:eastAsia="Calibri" w:hAnsi="Traditional Arabic" w:cs="Traditional Arabic"/>
          <w:sz w:val="40"/>
          <w:szCs w:val="40"/>
          <w:vertAlign w:val="superscript"/>
        </w:rPr>
        <w:footnoteReference w:id="11"/>
      </w:r>
    </w:p>
    <w:p w14:paraId="378D33F2" w14:textId="3F4330E6" w:rsidR="00286DB0" w:rsidRPr="00C406BC" w:rsidRDefault="00801ADA" w:rsidP="00801ADA">
      <w:pPr>
        <w:spacing w:after="240" w:line="360" w:lineRule="auto"/>
        <w:contextualSpacing/>
        <w:jc w:val="both"/>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t>3-</w:t>
      </w:r>
      <w:r w:rsidR="00286DB0" w:rsidRPr="00C406BC">
        <w:rPr>
          <w:rFonts w:ascii="Traditional Arabic" w:eastAsia="Calibri" w:hAnsi="Traditional Arabic" w:cs="Traditional Arabic"/>
          <w:sz w:val="40"/>
          <w:szCs w:val="40"/>
          <w:rtl/>
        </w:rPr>
        <w:t>التقادم الخمسي:</w:t>
      </w:r>
      <w:r w:rsidR="00286DB0" w:rsidRPr="00C406BC">
        <w:rPr>
          <w:rFonts w:ascii="Traditional Arabic" w:eastAsia="Calibri" w:hAnsi="Traditional Arabic" w:cs="Traditional Arabic"/>
          <w:sz w:val="40"/>
          <w:szCs w:val="40"/>
          <w:vertAlign w:val="superscript"/>
          <w:rtl/>
        </w:rPr>
        <w:footnoteReference w:id="12"/>
      </w:r>
      <w:r w:rsidR="00187AB3">
        <w:rPr>
          <w:rFonts w:ascii="Traditional Arabic" w:eastAsia="Calibri" w:hAnsi="Traditional Arabic" w:cs="Traditional Arabic" w:hint="cs"/>
          <w:sz w:val="40"/>
          <w:szCs w:val="40"/>
          <w:rtl/>
        </w:rPr>
        <w:t>وهو التقادم الذي يجري على الحقوق الدورية المتجددة، وهو يشمل عدة طوائف بيانها كما يلي:</w:t>
      </w:r>
    </w:p>
    <w:p w14:paraId="3F0EA6C7" w14:textId="544F77B3" w:rsidR="00286DB0" w:rsidRPr="00C406BC" w:rsidRDefault="00286DB0" w:rsidP="00801ADA">
      <w:pPr>
        <w:spacing w:after="240" w:line="360" w:lineRule="auto"/>
        <w:contextualSpacing/>
        <w:jc w:val="both"/>
        <w:rPr>
          <w:rFonts w:ascii="Traditional Arabic" w:eastAsia="Calibri" w:hAnsi="Traditional Arabic" w:cs="Traditional Arabic"/>
          <w:sz w:val="40"/>
          <w:szCs w:val="40"/>
        </w:rPr>
      </w:pPr>
      <w:r w:rsidRPr="00C406BC">
        <w:rPr>
          <w:rFonts w:ascii="Traditional Arabic" w:eastAsia="Calibri" w:hAnsi="Traditional Arabic" w:cs="Traditional Arabic"/>
          <w:sz w:val="40"/>
          <w:szCs w:val="40"/>
          <w:rtl/>
        </w:rPr>
        <w:t>الطائفة الأولى: تشمل الرواتب</w:t>
      </w:r>
      <w:r w:rsidR="00187AB3">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والمخصصات</w:t>
      </w:r>
      <w:r w:rsidR="00187AB3">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وما في حكمها</w:t>
      </w:r>
      <w:r w:rsidR="00187AB3">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أي الحقوق التي تتسم بالدورية والتجدد</w:t>
      </w:r>
      <w:r w:rsidR="00187AB3">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وتُفسر الدورية بأن الحق يكون مستحقًا في مواعيد دورية محددة مثل كل شهر</w:t>
      </w:r>
      <w:r w:rsidR="00187AB3">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أو كل ثلاثة أشهر</w:t>
      </w:r>
      <w:r w:rsidR="00187AB3">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أو كل سنة، بينما يكون التجدد بأن الحق يكون مستمرًا ولا ينقطع</w:t>
      </w:r>
      <w:r w:rsidR="00187AB3">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ومن أمثلة هذه الحقوق المعاشات</w:t>
      </w:r>
      <w:r w:rsidR="00187AB3">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والعلاوات</w:t>
      </w:r>
      <w:r w:rsidR="00187AB3">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وأجور المباني</w:t>
      </w:r>
      <w:r w:rsidR="00187AB3">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والأراضي الزراعية</w:t>
      </w:r>
      <w:r w:rsidR="00187AB3">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w:t>
      </w:r>
      <w:r w:rsidR="00187AB3">
        <w:rPr>
          <w:rFonts w:ascii="Traditional Arabic" w:eastAsia="Calibri" w:hAnsi="Traditional Arabic" w:cs="Traditional Arabic" w:hint="cs"/>
          <w:sz w:val="40"/>
          <w:szCs w:val="40"/>
          <w:rtl/>
        </w:rPr>
        <w:t>و</w:t>
      </w:r>
      <w:r w:rsidRPr="00C406BC">
        <w:rPr>
          <w:rFonts w:ascii="Traditional Arabic" w:eastAsia="Calibri" w:hAnsi="Traditional Arabic" w:cs="Traditional Arabic"/>
          <w:sz w:val="40"/>
          <w:szCs w:val="40"/>
          <w:rtl/>
        </w:rPr>
        <w:t>تسقط المطالبة بها بعد مرور سنتين من تاريخ استحقاقها</w:t>
      </w:r>
      <w:r w:rsidR="00187AB3">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وصلاحيتها للصرف</w:t>
      </w:r>
      <w:r w:rsidRPr="00C406BC">
        <w:rPr>
          <w:rFonts w:ascii="Traditional Arabic" w:eastAsia="Calibri" w:hAnsi="Traditional Arabic" w:cs="Traditional Arabic"/>
          <w:sz w:val="40"/>
          <w:szCs w:val="40"/>
        </w:rPr>
        <w:t>.</w:t>
      </w:r>
    </w:p>
    <w:p w14:paraId="3020EE4B" w14:textId="0EF277BE" w:rsidR="00286DB0" w:rsidRPr="00C406BC" w:rsidRDefault="00286DB0" w:rsidP="00187AB3">
      <w:pPr>
        <w:spacing w:after="240" w:line="360" w:lineRule="auto"/>
        <w:contextualSpacing/>
        <w:jc w:val="both"/>
        <w:rPr>
          <w:rFonts w:ascii="Traditional Arabic" w:eastAsia="Calibri" w:hAnsi="Traditional Arabic" w:cs="Traditional Arabic"/>
          <w:sz w:val="40"/>
          <w:szCs w:val="40"/>
        </w:rPr>
      </w:pPr>
      <w:r w:rsidRPr="00C406BC">
        <w:rPr>
          <w:rFonts w:ascii="Traditional Arabic" w:eastAsia="Calibri" w:hAnsi="Traditional Arabic" w:cs="Traditional Arabic"/>
          <w:sz w:val="40"/>
          <w:szCs w:val="40"/>
          <w:rtl/>
        </w:rPr>
        <w:t xml:space="preserve">الطائفة الثانية: </w:t>
      </w:r>
      <w:r w:rsidR="00187AB3">
        <w:rPr>
          <w:rFonts w:ascii="Traditional Arabic" w:eastAsia="Calibri" w:hAnsi="Traditional Arabic" w:cs="Traditional Arabic" w:hint="cs"/>
          <w:sz w:val="40"/>
          <w:szCs w:val="40"/>
          <w:rtl/>
        </w:rPr>
        <w:t xml:space="preserve">وهذه </w:t>
      </w:r>
      <w:r w:rsidRPr="00C406BC">
        <w:rPr>
          <w:rFonts w:ascii="Traditional Arabic" w:eastAsia="Calibri" w:hAnsi="Traditional Arabic" w:cs="Traditional Arabic"/>
          <w:sz w:val="40"/>
          <w:szCs w:val="40"/>
          <w:rtl/>
        </w:rPr>
        <w:t>تتضمن الحقوق التي لا تندرج في الطائفة الأولى، وهي تلك التي لم تستوف شرطي الدورية والتجدد</w:t>
      </w:r>
      <w:r w:rsidR="00187AB3">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w:t>
      </w:r>
      <w:r w:rsidR="00187AB3">
        <w:rPr>
          <w:rFonts w:ascii="Traditional Arabic" w:eastAsia="Calibri" w:hAnsi="Traditional Arabic" w:cs="Traditional Arabic" w:hint="cs"/>
          <w:sz w:val="40"/>
          <w:szCs w:val="40"/>
          <w:rtl/>
        </w:rPr>
        <w:t>و</w:t>
      </w:r>
      <w:r w:rsidRPr="00C406BC">
        <w:rPr>
          <w:rFonts w:ascii="Traditional Arabic" w:eastAsia="Calibri" w:hAnsi="Traditional Arabic" w:cs="Traditional Arabic"/>
          <w:sz w:val="40"/>
          <w:szCs w:val="40"/>
          <w:rtl/>
        </w:rPr>
        <w:t xml:space="preserve">تتقادم المطالبة بها بعد مرور ثلاث سنوات من تاريخ استحقاقها </w:t>
      </w:r>
      <w:r w:rsidRPr="00C406BC">
        <w:rPr>
          <w:rFonts w:ascii="Traditional Arabic" w:eastAsia="Calibri" w:hAnsi="Traditional Arabic" w:cs="Traditional Arabic"/>
          <w:sz w:val="40"/>
          <w:szCs w:val="40"/>
          <w:rtl/>
        </w:rPr>
        <w:lastRenderedPageBreak/>
        <w:t>وصلاحيتها للصرف</w:t>
      </w:r>
      <w:r w:rsidR="00187AB3">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ومن أمثلة هذه الحقوق التعويضات</w:t>
      </w:r>
      <w:r w:rsidR="00187AB3">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والمكافآت</w:t>
      </w:r>
      <w:r w:rsidR="00187AB3">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ومصاريف الانتقال</w:t>
      </w:r>
      <w:r w:rsidR="00187AB3">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وبدلات السفر</w:t>
      </w:r>
      <w:r w:rsidR="00187AB3">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ومكافآت العمل الإضافي</w:t>
      </w:r>
      <w:r w:rsidR="00187AB3">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ونزع الملكية</w:t>
      </w:r>
      <w:r w:rsidR="00187AB3">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وأثمان المشتريات</w:t>
      </w:r>
      <w:r w:rsidR="00187AB3">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والتوريدات</w:t>
      </w:r>
      <w:r w:rsidR="00187AB3">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ومقابل الأعمال</w:t>
      </w:r>
      <w:r w:rsidR="00187AB3">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والأشغال التي تطلبها المصالح الحكومية</w:t>
      </w:r>
      <w:r w:rsidR="00187AB3">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وغيرها</w:t>
      </w:r>
      <w:r w:rsidRPr="00C406BC">
        <w:rPr>
          <w:rFonts w:ascii="Traditional Arabic" w:eastAsia="Calibri" w:hAnsi="Traditional Arabic" w:cs="Traditional Arabic"/>
          <w:sz w:val="40"/>
          <w:szCs w:val="40"/>
        </w:rPr>
        <w:t>.</w:t>
      </w:r>
    </w:p>
    <w:p w14:paraId="7A629074" w14:textId="59A15D04" w:rsidR="00286DB0" w:rsidRPr="00C406BC" w:rsidRDefault="00286DB0" w:rsidP="00187AB3">
      <w:pPr>
        <w:spacing w:after="240" w:line="360" w:lineRule="auto"/>
        <w:ind w:left="360"/>
        <w:contextualSpacing/>
        <w:jc w:val="both"/>
        <w:rPr>
          <w:rFonts w:ascii="Traditional Arabic" w:eastAsia="Calibri" w:hAnsi="Traditional Arabic" w:cs="Traditional Arabic"/>
          <w:sz w:val="40"/>
          <w:szCs w:val="40"/>
        </w:rPr>
      </w:pPr>
      <w:r w:rsidRPr="00C406BC">
        <w:rPr>
          <w:rFonts w:ascii="Traditional Arabic" w:eastAsia="Calibri" w:hAnsi="Traditional Arabic" w:cs="Traditional Arabic"/>
          <w:sz w:val="40"/>
          <w:szCs w:val="40"/>
          <w:rtl/>
        </w:rPr>
        <w:t>يشمل التقادم الخمسي الديون التي تقتضي نشاطًا مستمرًا</w:t>
      </w:r>
      <w:r w:rsidR="00187AB3">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أو متجددًا</w:t>
      </w:r>
      <w:r w:rsidR="00187AB3">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وتتضمن الكمبيالات</w:t>
      </w:r>
      <w:r w:rsidR="00187AB3">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والأوراق التجارية الأخرى</w:t>
      </w:r>
      <w:r w:rsidR="00187AB3">
        <w:rPr>
          <w:rFonts w:ascii="Traditional Arabic" w:eastAsia="Calibri" w:hAnsi="Traditional Arabic" w:cs="Traditional Arabic" w:hint="cs"/>
          <w:sz w:val="40"/>
          <w:szCs w:val="40"/>
          <w:rtl/>
        </w:rPr>
        <w:t>، و</w:t>
      </w:r>
      <w:r w:rsidRPr="00C406BC">
        <w:rPr>
          <w:rFonts w:ascii="Traditional Arabic" w:eastAsia="Calibri" w:hAnsi="Traditional Arabic" w:cs="Traditional Arabic"/>
          <w:sz w:val="40"/>
          <w:szCs w:val="40"/>
          <w:rtl/>
        </w:rPr>
        <w:t>يُعتبر التقادم الخمسي قريبًا من مفهوم التقادم الحولي ويُفترَض فيه حصول الوفاء، وتقوم قرينة التقادم الخمسي على قرينة الوفاء التي لا يقبل المناقشة فيها</w:t>
      </w:r>
      <w:r w:rsidRPr="00C406BC">
        <w:rPr>
          <w:rFonts w:ascii="Traditional Arabic" w:eastAsia="Calibri" w:hAnsi="Traditional Arabic" w:cs="Traditional Arabic"/>
          <w:sz w:val="40"/>
          <w:szCs w:val="40"/>
        </w:rPr>
        <w:t>.</w:t>
      </w:r>
    </w:p>
    <w:p w14:paraId="324CB0D8" w14:textId="77777777" w:rsidR="00286DB0" w:rsidRPr="00C406BC" w:rsidRDefault="00286DB0" w:rsidP="00C406BC">
      <w:pPr>
        <w:spacing w:after="240" w:line="360" w:lineRule="auto"/>
        <w:ind w:firstLine="720"/>
        <w:jc w:val="both"/>
        <w:rPr>
          <w:rFonts w:ascii="Traditional Arabic" w:eastAsia="Calibri" w:hAnsi="Traditional Arabic" w:cs="Traditional Arabic"/>
          <w:sz w:val="40"/>
          <w:szCs w:val="40"/>
        </w:rPr>
      </w:pPr>
      <w:r w:rsidRPr="00C406BC">
        <w:rPr>
          <w:rFonts w:ascii="Traditional Arabic" w:eastAsia="Calibri" w:hAnsi="Traditional Arabic" w:cs="Traditional Arabic"/>
          <w:b/>
          <w:bCs/>
          <w:sz w:val="40"/>
          <w:szCs w:val="40"/>
          <w:rtl/>
        </w:rPr>
        <w:t>التقادم المكسب</w:t>
      </w:r>
    </w:p>
    <w:p w14:paraId="43292E4D" w14:textId="5116BE59" w:rsidR="00286DB0" w:rsidRPr="00C406BC" w:rsidRDefault="00286DB0" w:rsidP="00C406BC">
      <w:pPr>
        <w:spacing w:after="240" w:line="360" w:lineRule="auto"/>
        <w:ind w:firstLine="720"/>
        <w:jc w:val="both"/>
        <w:rPr>
          <w:rFonts w:ascii="Traditional Arabic" w:eastAsia="Calibri" w:hAnsi="Traditional Arabic" w:cs="Traditional Arabic"/>
          <w:sz w:val="40"/>
          <w:szCs w:val="40"/>
        </w:rPr>
      </w:pPr>
      <w:r w:rsidRPr="00C406BC">
        <w:rPr>
          <w:rFonts w:ascii="Traditional Arabic" w:eastAsia="Calibri" w:hAnsi="Traditional Arabic" w:cs="Traditional Arabic"/>
          <w:sz w:val="40"/>
          <w:szCs w:val="40"/>
          <w:rtl/>
        </w:rPr>
        <w:t xml:space="preserve">التقادم المكسب </w:t>
      </w:r>
      <w:bookmarkStart w:id="15" w:name="_Hlk180668298"/>
      <w:r w:rsidRPr="00C406BC">
        <w:rPr>
          <w:rFonts w:ascii="Traditional Arabic" w:eastAsia="Calibri" w:hAnsi="Traditional Arabic" w:cs="Traditional Arabic"/>
          <w:sz w:val="40"/>
          <w:szCs w:val="40"/>
          <w:rtl/>
        </w:rPr>
        <w:t>هو نظام قانوني يمكن من خلاله للفرد كسب حق معين</w:t>
      </w:r>
      <w:r w:rsidR="00A90DB2">
        <w:rPr>
          <w:rFonts w:ascii="Traditional Arabic" w:eastAsia="Calibri" w:hAnsi="Traditional Arabic" w:cs="Traditional Arabic" w:hint="cs"/>
          <w:sz w:val="40"/>
          <w:szCs w:val="40"/>
          <w:rtl/>
        </w:rPr>
        <w:t xml:space="preserve">؛ </w:t>
      </w:r>
      <w:r w:rsidRPr="00C406BC">
        <w:rPr>
          <w:rFonts w:ascii="Traditional Arabic" w:eastAsia="Calibri" w:hAnsi="Traditional Arabic" w:cs="Traditional Arabic"/>
          <w:sz w:val="40"/>
          <w:szCs w:val="40"/>
          <w:rtl/>
        </w:rPr>
        <w:t xml:space="preserve">مثل ملكية </w:t>
      </w:r>
      <w:r w:rsidR="00A90DB2" w:rsidRPr="00C406BC">
        <w:rPr>
          <w:rFonts w:ascii="Traditional Arabic" w:eastAsia="Calibri" w:hAnsi="Traditional Arabic" w:cs="Traditional Arabic" w:hint="cs"/>
          <w:sz w:val="40"/>
          <w:szCs w:val="40"/>
          <w:rtl/>
        </w:rPr>
        <w:t>عقا</w:t>
      </w:r>
      <w:r w:rsidR="00A90DB2">
        <w:rPr>
          <w:rFonts w:ascii="Traditional Arabic" w:eastAsia="Calibri" w:hAnsi="Traditional Arabic" w:cs="Traditional Arabic" w:hint="cs"/>
          <w:sz w:val="40"/>
          <w:szCs w:val="40"/>
          <w:rtl/>
        </w:rPr>
        <w:t>ر،</w:t>
      </w:r>
      <w:r w:rsidRPr="00C406BC">
        <w:rPr>
          <w:rFonts w:ascii="Traditional Arabic" w:eastAsia="Calibri" w:hAnsi="Traditional Arabic" w:cs="Traditional Arabic"/>
          <w:sz w:val="40"/>
          <w:szCs w:val="40"/>
          <w:rtl/>
        </w:rPr>
        <w:t xml:space="preserve"> أو منقول إذا استمر في حيازته لمدة محددة قانونيًا دون انقطاع</w:t>
      </w:r>
      <w:r w:rsidR="00A90DB2">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أو منازعة من الآخرين. يهدف هذا النظام إلى استقرار الحقوق</w:t>
      </w:r>
      <w:r w:rsidR="00A90DB2">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والمراكز القانونية من خلال تقنين فترة زمنية تتاح خلالها للأشخاص فرصة الاعتراض على حيازة الغير</w:t>
      </w:r>
      <w:bookmarkEnd w:id="15"/>
      <w:r w:rsidRPr="00C406BC">
        <w:rPr>
          <w:rFonts w:ascii="Traditional Arabic" w:eastAsia="Calibri" w:hAnsi="Traditional Arabic" w:cs="Traditional Arabic"/>
          <w:sz w:val="40"/>
          <w:szCs w:val="40"/>
        </w:rPr>
        <w:t>.</w:t>
      </w:r>
      <w:r w:rsidRPr="00C406BC">
        <w:rPr>
          <w:rFonts w:ascii="Traditional Arabic" w:eastAsia="Calibri" w:hAnsi="Traditional Arabic" w:cs="Traditional Arabic"/>
          <w:sz w:val="40"/>
          <w:szCs w:val="40"/>
          <w:vertAlign w:val="superscript"/>
        </w:rPr>
        <w:footnoteReference w:id="13"/>
      </w:r>
    </w:p>
    <w:p w14:paraId="1DE22607" w14:textId="105E1DC2" w:rsidR="00286DB0" w:rsidRPr="00C406BC" w:rsidRDefault="00286DB0" w:rsidP="00C406BC">
      <w:pPr>
        <w:spacing w:after="240" w:line="360" w:lineRule="auto"/>
        <w:ind w:firstLine="720"/>
        <w:jc w:val="both"/>
        <w:rPr>
          <w:rFonts w:ascii="Traditional Arabic" w:eastAsia="Calibri" w:hAnsi="Traditional Arabic" w:cs="Traditional Arabic"/>
          <w:sz w:val="40"/>
          <w:szCs w:val="40"/>
        </w:rPr>
      </w:pPr>
      <w:bookmarkStart w:id="16" w:name="_Hlk180668875"/>
      <w:r w:rsidRPr="00C406BC">
        <w:rPr>
          <w:rFonts w:ascii="Traditional Arabic" w:eastAsia="Calibri" w:hAnsi="Traditional Arabic" w:cs="Traditional Arabic"/>
          <w:sz w:val="40"/>
          <w:szCs w:val="40"/>
          <w:rtl/>
        </w:rPr>
        <w:lastRenderedPageBreak/>
        <w:t>أساس التقادم المكسب يعتمد على حيازة الشخص لحق معين بشكل مستمر</w:t>
      </w:r>
      <w:r w:rsidR="00A90DB2">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وعلني</w:t>
      </w:r>
      <w:r w:rsidR="00A90DB2">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وبدون انقطاع لمدة محددة قانونيًا، ويشترط أن تكون الحيازة هادئة</w:t>
      </w:r>
      <w:r w:rsidR="00A90DB2">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ومستقرة</w:t>
      </w:r>
      <w:r w:rsidR="00A90DB2">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وبدون معارضة من المالك الأصلي</w:t>
      </w:r>
      <w:r w:rsidR="00A90DB2">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أو من الغي</w:t>
      </w:r>
      <w:bookmarkEnd w:id="16"/>
      <w:r w:rsidRPr="00C406BC">
        <w:rPr>
          <w:rFonts w:ascii="Traditional Arabic" w:eastAsia="Calibri" w:hAnsi="Traditional Arabic" w:cs="Traditional Arabic"/>
          <w:sz w:val="40"/>
          <w:szCs w:val="40"/>
          <w:rtl/>
        </w:rPr>
        <w:t>ر، ويكسب الحائز الحق</w:t>
      </w:r>
      <w:r w:rsidR="00A90DB2">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ويصبح مالكًا له بعد مرور المدة المحددة قانونا، ويمنع المالك الأصلي من المطالبة بحقه بعد انقضاء فترة التقادم المكسب</w:t>
      </w:r>
      <w:r w:rsidRPr="00C406BC">
        <w:rPr>
          <w:rFonts w:ascii="Traditional Arabic" w:eastAsia="Calibri" w:hAnsi="Traditional Arabic" w:cs="Traditional Arabic"/>
          <w:sz w:val="40"/>
          <w:szCs w:val="40"/>
        </w:rPr>
        <w:t>.</w:t>
      </w:r>
    </w:p>
    <w:p w14:paraId="07D99D28" w14:textId="1E8A9E41" w:rsidR="00286DB0" w:rsidRPr="00C406BC" w:rsidRDefault="00286DB0" w:rsidP="00C406BC">
      <w:pPr>
        <w:spacing w:after="240" w:line="360" w:lineRule="auto"/>
        <w:ind w:firstLine="720"/>
        <w:jc w:val="both"/>
        <w:rPr>
          <w:rFonts w:ascii="Traditional Arabic" w:eastAsia="Calibri" w:hAnsi="Traditional Arabic" w:cs="Traditional Arabic"/>
          <w:sz w:val="40"/>
          <w:szCs w:val="40"/>
        </w:rPr>
      </w:pPr>
      <w:r w:rsidRPr="00C406BC">
        <w:rPr>
          <w:rFonts w:ascii="Traditional Arabic" w:eastAsia="Calibri" w:hAnsi="Traditional Arabic" w:cs="Traditional Arabic"/>
          <w:sz w:val="40"/>
          <w:szCs w:val="40"/>
          <w:rtl/>
        </w:rPr>
        <w:t xml:space="preserve">في </w:t>
      </w:r>
      <w:bookmarkStart w:id="17" w:name="_Hlk180668947"/>
      <w:r w:rsidRPr="00C406BC">
        <w:rPr>
          <w:rFonts w:ascii="Traditional Arabic" w:eastAsia="Calibri" w:hAnsi="Traditional Arabic" w:cs="Traditional Arabic"/>
          <w:sz w:val="40"/>
          <w:szCs w:val="40"/>
          <w:rtl/>
        </w:rPr>
        <w:t>النظام السعودي يمكن للفرد أن يكسب ملكية عقار إذا استمر في حيازته بشكل مستمر</w:t>
      </w:r>
      <w:r w:rsidR="00A90DB2">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وعلني لمدة خمس عشرة سنة دون منازعة من الغير</w:t>
      </w:r>
      <w:r w:rsidR="00A90DB2">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أو المالك الأصلي</w:t>
      </w:r>
      <w:r w:rsidR="00A90DB2">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w:t>
      </w:r>
      <w:r w:rsidR="00A90DB2">
        <w:rPr>
          <w:rFonts w:ascii="Traditional Arabic" w:eastAsia="Calibri" w:hAnsi="Traditional Arabic" w:cs="Traditional Arabic" w:hint="cs"/>
          <w:sz w:val="40"/>
          <w:szCs w:val="40"/>
          <w:rtl/>
        </w:rPr>
        <w:t>و</w:t>
      </w:r>
      <w:r w:rsidRPr="00C406BC">
        <w:rPr>
          <w:rFonts w:ascii="Traditional Arabic" w:eastAsia="Calibri" w:hAnsi="Traditional Arabic" w:cs="Traditional Arabic"/>
          <w:sz w:val="40"/>
          <w:szCs w:val="40"/>
          <w:rtl/>
        </w:rPr>
        <w:t>ي</w:t>
      </w:r>
      <w:r w:rsidR="00A90DB2">
        <w:rPr>
          <w:rFonts w:ascii="Traditional Arabic" w:eastAsia="Calibri" w:hAnsi="Traditional Arabic" w:cs="Traditional Arabic" w:hint="cs"/>
          <w:sz w:val="40"/>
          <w:szCs w:val="40"/>
          <w:rtl/>
        </w:rPr>
        <w:t>قوم هذا التقادم على شروط</w:t>
      </w:r>
      <w:r w:rsidRPr="00C406BC">
        <w:rPr>
          <w:rFonts w:ascii="Traditional Arabic" w:eastAsia="Calibri" w:hAnsi="Traditional Arabic" w:cs="Traditional Arabic"/>
          <w:sz w:val="40"/>
          <w:szCs w:val="40"/>
          <w:rtl/>
        </w:rPr>
        <w:t xml:space="preserve"> محددة يجب توافرها في الحيازة</w:t>
      </w:r>
      <w:r w:rsidR="00A90DB2">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مثل النية في التملك، والعلنية، وعدم وجود منازعة قانونية من قبل المالك الأصلي خلال هذه الفترة</w:t>
      </w:r>
      <w:bookmarkEnd w:id="17"/>
      <w:r w:rsidRPr="00C406BC">
        <w:rPr>
          <w:rFonts w:ascii="Traditional Arabic" w:eastAsia="Calibri" w:hAnsi="Traditional Arabic" w:cs="Traditional Arabic"/>
          <w:sz w:val="40"/>
          <w:szCs w:val="40"/>
          <w:rtl/>
        </w:rPr>
        <w:t>، وفي الأنظمة الأخرى تختلف مدة التقادم المكسب</w:t>
      </w:r>
      <w:r w:rsidR="00A90DB2">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والشروط المرتبطة بها من دولة إلى أخرى</w:t>
      </w:r>
      <w:r w:rsidR="00A90DB2">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فمثلاً في بعض الدول، يمكن أن تكون مدة التقادم المكسب أقل</w:t>
      </w:r>
      <w:r w:rsidR="00A90DB2">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أو أكثر بناءً على طبيعة العقار</w:t>
      </w:r>
      <w:r w:rsidR="00A90DB2">
        <w:rPr>
          <w:rFonts w:ascii="Traditional Arabic" w:eastAsia="Calibri" w:hAnsi="Traditional Arabic" w:cs="Traditional Arabic" w:hint="cs"/>
          <w:sz w:val="40"/>
          <w:szCs w:val="40"/>
          <w:rtl/>
        </w:rPr>
        <w:t xml:space="preserve">؛ </w:t>
      </w:r>
      <w:r w:rsidRPr="00C406BC">
        <w:rPr>
          <w:rFonts w:ascii="Traditional Arabic" w:eastAsia="Calibri" w:hAnsi="Traditional Arabic" w:cs="Traditional Arabic"/>
          <w:sz w:val="40"/>
          <w:szCs w:val="40"/>
          <w:rtl/>
        </w:rPr>
        <w:t>زراعي</w:t>
      </w:r>
      <w:r w:rsidR="00A90DB2">
        <w:rPr>
          <w:rFonts w:ascii="Traditional Arabic" w:eastAsia="Calibri" w:hAnsi="Traditional Arabic" w:cs="Traditional Arabic" w:hint="cs"/>
          <w:sz w:val="40"/>
          <w:szCs w:val="40"/>
          <w:rtl/>
        </w:rPr>
        <w:t>ا كان،</w:t>
      </w:r>
      <w:r w:rsidRPr="00C406BC">
        <w:rPr>
          <w:rFonts w:ascii="Traditional Arabic" w:eastAsia="Calibri" w:hAnsi="Traditional Arabic" w:cs="Traditional Arabic"/>
          <w:sz w:val="40"/>
          <w:szCs w:val="40"/>
          <w:rtl/>
        </w:rPr>
        <w:t xml:space="preserve"> أو حضري</w:t>
      </w:r>
      <w:r w:rsidR="00A90DB2">
        <w:rPr>
          <w:rFonts w:ascii="Traditional Arabic" w:eastAsia="Calibri" w:hAnsi="Traditional Arabic" w:cs="Traditional Arabic" w:hint="cs"/>
          <w:sz w:val="40"/>
          <w:szCs w:val="40"/>
          <w:rtl/>
        </w:rPr>
        <w:t>ا،</w:t>
      </w:r>
      <w:r w:rsidRPr="00C406BC">
        <w:rPr>
          <w:rFonts w:ascii="Traditional Arabic" w:eastAsia="Calibri" w:hAnsi="Traditional Arabic" w:cs="Traditional Arabic"/>
          <w:sz w:val="40"/>
          <w:szCs w:val="40"/>
          <w:rtl/>
        </w:rPr>
        <w:t xml:space="preserve"> وظروف الحيازة</w:t>
      </w:r>
      <w:r w:rsidRPr="00C406BC">
        <w:rPr>
          <w:rFonts w:ascii="Traditional Arabic" w:eastAsia="Calibri" w:hAnsi="Traditional Arabic" w:cs="Traditional Arabic"/>
          <w:sz w:val="40"/>
          <w:szCs w:val="40"/>
        </w:rPr>
        <w:t>.</w:t>
      </w:r>
    </w:p>
    <w:p w14:paraId="426ECD5D" w14:textId="2D10A7CA" w:rsidR="00286DB0" w:rsidRPr="00C406BC" w:rsidRDefault="00A90DB2" w:rsidP="00A90DB2">
      <w:pPr>
        <w:spacing w:after="240" w:line="360" w:lineRule="auto"/>
        <w:jc w:val="both"/>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t>إن أهم شرط من</w:t>
      </w:r>
      <w:r w:rsidR="00286DB0" w:rsidRPr="00C406BC">
        <w:rPr>
          <w:rFonts w:ascii="Traditional Arabic" w:eastAsia="Calibri" w:hAnsi="Traditional Arabic" w:cs="Traditional Arabic"/>
          <w:sz w:val="40"/>
          <w:szCs w:val="40"/>
          <w:rtl/>
        </w:rPr>
        <w:t xml:space="preserve"> شروط التقادم المكسب هو الحيازة</w:t>
      </w:r>
      <w:r>
        <w:rPr>
          <w:rFonts w:ascii="Traditional Arabic" w:eastAsia="Calibri" w:hAnsi="Traditional Arabic" w:cs="Traditional Arabic" w:hint="cs"/>
          <w:sz w:val="40"/>
          <w:szCs w:val="40"/>
          <w:rtl/>
        </w:rPr>
        <w:t xml:space="preserve"> مرتبطة بصفاتها؛</w:t>
      </w:r>
      <w:r w:rsidR="00286DB0" w:rsidRPr="00C406BC">
        <w:rPr>
          <w:rFonts w:ascii="Traditional Arabic" w:eastAsia="Calibri" w:hAnsi="Traditional Arabic" w:cs="Traditional Arabic"/>
          <w:sz w:val="40"/>
          <w:szCs w:val="40"/>
          <w:rtl/>
        </w:rPr>
        <w:t xml:space="preserve"> فيجب أن تكون</w:t>
      </w:r>
      <w:r>
        <w:rPr>
          <w:rFonts w:ascii="Traditional Arabic" w:eastAsia="Calibri" w:hAnsi="Traditional Arabic" w:cs="Traditional Arabic" w:hint="cs"/>
          <w:sz w:val="40"/>
          <w:szCs w:val="40"/>
          <w:rtl/>
        </w:rPr>
        <w:t xml:space="preserve"> هناك حيازة، كما يجب أن تكون</w:t>
      </w:r>
      <w:r w:rsidR="00286DB0" w:rsidRPr="00C406BC">
        <w:rPr>
          <w:rFonts w:ascii="Traditional Arabic" w:eastAsia="Calibri" w:hAnsi="Traditional Arabic" w:cs="Traditional Arabic"/>
          <w:sz w:val="40"/>
          <w:szCs w:val="40"/>
          <w:rtl/>
        </w:rPr>
        <w:t xml:space="preserve"> الحيازة متواصلة دون انقطاع خلال الفترة الزمنية المحددة، و</w:t>
      </w:r>
      <w:r>
        <w:rPr>
          <w:rFonts w:ascii="Traditional Arabic" w:eastAsia="Calibri" w:hAnsi="Traditional Arabic" w:cs="Traditional Arabic" w:hint="cs"/>
          <w:sz w:val="40"/>
          <w:szCs w:val="40"/>
          <w:rtl/>
        </w:rPr>
        <w:t xml:space="preserve"> هناك </w:t>
      </w:r>
      <w:r w:rsidR="00286DB0" w:rsidRPr="00C406BC">
        <w:rPr>
          <w:rFonts w:ascii="Traditional Arabic" w:eastAsia="Calibri" w:hAnsi="Traditional Arabic" w:cs="Traditional Arabic"/>
          <w:sz w:val="40"/>
          <w:szCs w:val="40"/>
          <w:rtl/>
        </w:rPr>
        <w:t xml:space="preserve">شرط </w:t>
      </w:r>
      <w:r>
        <w:rPr>
          <w:rFonts w:ascii="Traditional Arabic" w:eastAsia="Calibri" w:hAnsi="Traditional Arabic" w:cs="Traditional Arabic" w:hint="cs"/>
          <w:sz w:val="40"/>
          <w:szCs w:val="40"/>
          <w:rtl/>
        </w:rPr>
        <w:t>أ</w:t>
      </w:r>
      <w:r w:rsidR="00286DB0" w:rsidRPr="00C406BC">
        <w:rPr>
          <w:rFonts w:ascii="Traditional Arabic" w:eastAsia="Calibri" w:hAnsi="Traditional Arabic" w:cs="Traditional Arabic"/>
          <w:sz w:val="40"/>
          <w:szCs w:val="40"/>
          <w:rtl/>
        </w:rPr>
        <w:t>ساسي هو العلنية</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فيجب أن تكون الحيازة علنية</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وليست خفية</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بحيث يمكن للمالك </w:t>
      </w:r>
      <w:r w:rsidR="00286DB0" w:rsidRPr="00C406BC">
        <w:rPr>
          <w:rFonts w:ascii="Traditional Arabic" w:eastAsia="Calibri" w:hAnsi="Traditional Arabic" w:cs="Traditional Arabic"/>
          <w:sz w:val="40"/>
          <w:szCs w:val="40"/>
          <w:rtl/>
        </w:rPr>
        <w:lastRenderedPageBreak/>
        <w:t>الأصلي</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الغير رؤيتها</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ومعرفتها، و</w:t>
      </w:r>
      <w:r>
        <w:rPr>
          <w:rFonts w:ascii="Traditional Arabic" w:eastAsia="Calibri" w:hAnsi="Traditional Arabic" w:cs="Traditional Arabic" w:hint="cs"/>
          <w:sz w:val="40"/>
          <w:szCs w:val="40"/>
          <w:rtl/>
        </w:rPr>
        <w:t xml:space="preserve">هناك </w:t>
      </w:r>
      <w:r w:rsidR="00286DB0" w:rsidRPr="00C406BC">
        <w:rPr>
          <w:rFonts w:ascii="Traditional Arabic" w:eastAsia="Calibri" w:hAnsi="Traditional Arabic" w:cs="Traditional Arabic"/>
          <w:sz w:val="40"/>
          <w:szCs w:val="40"/>
          <w:rtl/>
        </w:rPr>
        <w:t xml:space="preserve">شرط </w:t>
      </w:r>
      <w:r>
        <w:rPr>
          <w:rFonts w:ascii="Traditional Arabic" w:eastAsia="Calibri" w:hAnsi="Traditional Arabic" w:cs="Traditional Arabic" w:hint="cs"/>
          <w:sz w:val="40"/>
          <w:szCs w:val="40"/>
          <w:rtl/>
        </w:rPr>
        <w:t>آ</w:t>
      </w:r>
      <w:r w:rsidR="00286DB0" w:rsidRPr="00C406BC">
        <w:rPr>
          <w:rFonts w:ascii="Traditional Arabic" w:eastAsia="Calibri" w:hAnsi="Traditional Arabic" w:cs="Traditional Arabic"/>
          <w:sz w:val="40"/>
          <w:szCs w:val="40"/>
          <w:rtl/>
        </w:rPr>
        <w:t>خر هو النية في التملك</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فيجب أن يكون لدى الحائز نية في تملك الحق موضوع الحيازة</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وليس استخدامه بشكل مؤقت</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عرضي</w:t>
      </w:r>
      <w:r>
        <w:rPr>
          <w:rFonts w:ascii="Traditional Arabic" w:eastAsia="Calibri" w:hAnsi="Traditional Arabic" w:cs="Traditional Arabic" w:hint="cs"/>
          <w:sz w:val="40"/>
          <w:szCs w:val="40"/>
          <w:rtl/>
        </w:rPr>
        <w:t xml:space="preserve"> فحسب</w:t>
      </w:r>
      <w:r w:rsidR="00286DB0" w:rsidRPr="00C406BC">
        <w:rPr>
          <w:rFonts w:ascii="Traditional Arabic" w:eastAsia="Calibri" w:hAnsi="Traditional Arabic" w:cs="Traditional Arabic"/>
          <w:sz w:val="40"/>
          <w:szCs w:val="40"/>
          <w:rtl/>
        </w:rPr>
        <w:t>،</w:t>
      </w:r>
      <w:r w:rsidR="003C13BB">
        <w:rPr>
          <w:rFonts w:ascii="Traditional Arabic" w:eastAsia="Calibri" w:hAnsi="Traditional Arabic" w:cs="Traditional Arabic" w:hint="cs"/>
          <w:sz w:val="40"/>
          <w:szCs w:val="40"/>
          <w:rtl/>
        </w:rPr>
        <w:t xml:space="preserve"> كما أن هناك شرط إتمام الحيازة</w:t>
      </w:r>
      <w:r w:rsidR="00286DB0" w:rsidRPr="00C406BC">
        <w:rPr>
          <w:rFonts w:ascii="Traditional Arabic" w:eastAsia="Calibri" w:hAnsi="Traditional Arabic" w:cs="Traditional Arabic"/>
          <w:sz w:val="40"/>
          <w:szCs w:val="40"/>
          <w:rtl/>
        </w:rPr>
        <w:t xml:space="preserve"> المدة الزمنية</w:t>
      </w:r>
      <w:r w:rsidR="003C13BB">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فيجب أن تكون الحيازة مستمرة طوال المدة الزمنية المحددة قانونا دون أي انقطاع يوقف مدة التقادم</w:t>
      </w:r>
      <w:r w:rsidR="00286DB0" w:rsidRPr="00C406BC">
        <w:rPr>
          <w:rFonts w:ascii="Traditional Arabic" w:eastAsia="Calibri" w:hAnsi="Traditional Arabic" w:cs="Traditional Arabic"/>
          <w:sz w:val="40"/>
          <w:szCs w:val="40"/>
        </w:rPr>
        <w:t>.</w:t>
      </w:r>
    </w:p>
    <w:p w14:paraId="2FC94DB7" w14:textId="6A8549AD" w:rsidR="00286DB0" w:rsidRPr="00C406BC" w:rsidRDefault="003C13BB" w:rsidP="00C406BC">
      <w:pPr>
        <w:spacing w:after="240" w:line="360" w:lineRule="auto"/>
        <w:ind w:firstLine="720"/>
        <w:jc w:val="both"/>
        <w:rPr>
          <w:rFonts w:ascii="Traditional Arabic" w:eastAsia="Calibri" w:hAnsi="Traditional Arabic" w:cs="Traditional Arabic"/>
          <w:sz w:val="40"/>
          <w:szCs w:val="40"/>
          <w:rtl/>
        </w:rPr>
      </w:pPr>
      <w:r>
        <w:rPr>
          <w:rFonts w:ascii="Traditional Arabic" w:eastAsia="Calibri" w:hAnsi="Traditional Arabic" w:cs="Traditional Arabic" w:hint="cs"/>
          <w:sz w:val="40"/>
          <w:szCs w:val="40"/>
          <w:rtl/>
        </w:rPr>
        <w:t xml:space="preserve">إن </w:t>
      </w:r>
      <w:bookmarkStart w:id="18" w:name="_Hlk180669057"/>
      <w:r w:rsidR="00286DB0" w:rsidRPr="00C406BC">
        <w:rPr>
          <w:rFonts w:ascii="Traditional Arabic" w:eastAsia="Calibri" w:hAnsi="Traditional Arabic" w:cs="Traditional Arabic"/>
          <w:sz w:val="40"/>
          <w:szCs w:val="40"/>
          <w:rtl/>
        </w:rPr>
        <w:t>التقادم المكسب يساهم في استقرار الحقوق</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والمراكز القانونية من خلال تحديد فترة زمنية معينة يتمكن خلالها الأشخاص من الاعتراض على حيازة الغير، ويمنع المنازعات القضائية التي قد تنشأ بعد فترة طويلة من الزمن بخصوص ملكية العقارات</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المنقولات، ويوفر الحماية القانونية للحائزين الذين يتصرفون بحسن نية</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ويستثمرون في تحسين العقار</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المنقول موضوع الحيازة</w:t>
      </w:r>
      <w:bookmarkEnd w:id="18"/>
      <w:r w:rsidR="00286DB0" w:rsidRPr="00C406BC">
        <w:rPr>
          <w:rFonts w:ascii="Traditional Arabic" w:eastAsia="Calibri" w:hAnsi="Traditional Arabic" w:cs="Traditional Arabic"/>
          <w:sz w:val="40"/>
          <w:szCs w:val="40"/>
          <w:rtl/>
        </w:rPr>
        <w:t>، وباختصار</w:t>
      </w:r>
      <w:r>
        <w:rPr>
          <w:rFonts w:ascii="Traditional Arabic" w:eastAsia="Calibri" w:hAnsi="Traditional Arabic" w:cs="Traditional Arabic" w:hint="cs"/>
          <w:sz w:val="40"/>
          <w:szCs w:val="40"/>
          <w:rtl/>
        </w:rPr>
        <w:t xml:space="preserve"> فإن</w:t>
      </w:r>
      <w:r w:rsidR="00286DB0" w:rsidRPr="00C406BC">
        <w:rPr>
          <w:rFonts w:ascii="Traditional Arabic" w:eastAsia="Calibri" w:hAnsi="Traditional Arabic" w:cs="Traditional Arabic"/>
          <w:sz w:val="40"/>
          <w:szCs w:val="40"/>
          <w:rtl/>
        </w:rPr>
        <w:t xml:space="preserve"> التقادم المكسب هو وسيلة قانونية تمنح الحائز الحق في تملك العقار</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المنقول بعد فترة زمنية معينة من الحيازة المستمرة</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والعلنية دون منازعة، مما يسهم في استقرار المعاملات القانونية</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وحماية الحقوق</w:t>
      </w:r>
      <w:r>
        <w:rPr>
          <w:rFonts w:ascii="Traditional Arabic" w:eastAsia="Calibri" w:hAnsi="Traditional Arabic" w:cs="Traditional Arabic" w:hint="cs"/>
          <w:sz w:val="40"/>
          <w:szCs w:val="40"/>
          <w:rtl/>
        </w:rPr>
        <w:t>.</w:t>
      </w:r>
    </w:p>
    <w:p w14:paraId="58B732A8" w14:textId="52A5D39F" w:rsidR="00286DB0" w:rsidRPr="00C406BC" w:rsidRDefault="00AE7B80" w:rsidP="00C406BC">
      <w:pPr>
        <w:spacing w:after="240" w:line="360" w:lineRule="auto"/>
        <w:ind w:firstLine="720"/>
        <w:jc w:val="both"/>
        <w:rPr>
          <w:rFonts w:ascii="Traditional Arabic" w:eastAsia="Calibri" w:hAnsi="Traditional Arabic" w:cs="Traditional Arabic"/>
          <w:sz w:val="40"/>
          <w:szCs w:val="40"/>
          <w:rtl/>
        </w:rPr>
      </w:pPr>
      <w:bookmarkStart w:id="19" w:name="_Hlk180669121"/>
      <w:r>
        <w:rPr>
          <w:rFonts w:ascii="Traditional Arabic" w:eastAsia="Calibri" w:hAnsi="Traditional Arabic" w:cs="Traditional Arabic" w:hint="cs"/>
          <w:sz w:val="40"/>
          <w:szCs w:val="40"/>
          <w:rtl/>
        </w:rPr>
        <w:t xml:space="preserve">يهدف </w:t>
      </w:r>
      <w:r w:rsidR="00286DB0" w:rsidRPr="00C406BC">
        <w:rPr>
          <w:rFonts w:ascii="Traditional Arabic" w:eastAsia="Calibri" w:hAnsi="Traditional Arabic" w:cs="Traditional Arabic"/>
          <w:sz w:val="40"/>
          <w:szCs w:val="40"/>
          <w:rtl/>
        </w:rPr>
        <w:t xml:space="preserve">التقادم </w:t>
      </w:r>
      <w:r>
        <w:rPr>
          <w:rFonts w:ascii="Traditional Arabic" w:eastAsia="Calibri" w:hAnsi="Traditional Arabic" w:cs="Traditional Arabic" w:hint="cs"/>
          <w:sz w:val="40"/>
          <w:szCs w:val="40"/>
          <w:rtl/>
        </w:rPr>
        <w:t>في ا</w:t>
      </w:r>
      <w:r w:rsidR="00286DB0" w:rsidRPr="00C406BC">
        <w:rPr>
          <w:rFonts w:ascii="Traditional Arabic" w:eastAsia="Calibri" w:hAnsi="Traditional Arabic" w:cs="Traditional Arabic"/>
          <w:sz w:val="40"/>
          <w:szCs w:val="40"/>
          <w:rtl/>
        </w:rPr>
        <w:t>لأوراق التجارية</w:t>
      </w:r>
      <w:r w:rsidR="00C04770">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مثل الشيكات </w:t>
      </w:r>
      <w:r w:rsidRPr="00C406BC">
        <w:rPr>
          <w:rFonts w:ascii="Traditional Arabic" w:eastAsia="Calibri" w:hAnsi="Traditional Arabic" w:cs="Traditional Arabic"/>
          <w:sz w:val="40"/>
          <w:szCs w:val="40"/>
          <w:rtl/>
        </w:rPr>
        <w:t>في النظام السعودي</w:t>
      </w:r>
      <w:r w:rsidR="00286DB0" w:rsidRPr="00C406BC">
        <w:rPr>
          <w:rFonts w:ascii="Traditional Arabic" w:eastAsia="Calibri" w:hAnsi="Traditional Arabic" w:cs="Traditional Arabic"/>
          <w:sz w:val="40"/>
          <w:szCs w:val="40"/>
          <w:rtl/>
        </w:rPr>
        <w:t xml:space="preserve"> إلى تنظيم المطالبات</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والالتزامات المالية</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وحماية الأطراف من المطالبات الباطلة</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التي قد يصعب إثباتها </w:t>
      </w:r>
      <w:r w:rsidR="00286DB0" w:rsidRPr="00C406BC">
        <w:rPr>
          <w:rFonts w:ascii="Traditional Arabic" w:eastAsia="Calibri" w:hAnsi="Traditional Arabic" w:cs="Traditional Arabic"/>
          <w:sz w:val="40"/>
          <w:szCs w:val="40"/>
          <w:rtl/>
        </w:rPr>
        <w:lastRenderedPageBreak/>
        <w:t>بعد مرور وقت طويل</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على سبيل المثال، يسقط حق حامل الشيك في المطالبة بقيمته إذا لم يتخذ الإجراءات القانونية اللازمة خلال فترة محددة، مما يضمن استقرار المعاملات المالية</w:t>
      </w:r>
      <w:bookmarkEnd w:id="19"/>
      <w:r w:rsidR="00286DB0" w:rsidRPr="00C406BC">
        <w:rPr>
          <w:rFonts w:ascii="Traditional Arabic" w:eastAsia="Calibri" w:hAnsi="Traditional Arabic" w:cs="Traditional Arabic"/>
          <w:sz w:val="40"/>
          <w:szCs w:val="40"/>
        </w:rPr>
        <w:t>.</w:t>
      </w:r>
      <w:r w:rsidR="00286DB0" w:rsidRPr="00C406BC">
        <w:rPr>
          <w:rFonts w:ascii="Traditional Arabic" w:eastAsia="Calibri" w:hAnsi="Traditional Arabic" w:cs="Traditional Arabic"/>
          <w:sz w:val="40"/>
          <w:szCs w:val="40"/>
          <w:vertAlign w:val="superscript"/>
        </w:rPr>
        <w:footnoteReference w:id="14"/>
      </w:r>
    </w:p>
    <w:p w14:paraId="071F3452" w14:textId="3468E26C" w:rsidR="00286DB0" w:rsidRPr="00C406BC" w:rsidRDefault="00286DB0" w:rsidP="00C406BC">
      <w:pPr>
        <w:pStyle w:val="1"/>
        <w:spacing w:line="360" w:lineRule="auto"/>
        <w:ind w:firstLine="720"/>
        <w:rPr>
          <w:rFonts w:ascii="Traditional Arabic" w:eastAsia="Calibri" w:hAnsi="Traditional Arabic" w:cs="Traditional Arabic"/>
          <w:b/>
          <w:bCs/>
          <w:color w:val="auto"/>
          <w:sz w:val="40"/>
          <w:szCs w:val="40"/>
        </w:rPr>
      </w:pPr>
      <w:bookmarkStart w:id="20" w:name="_Toc168891646"/>
      <w:r w:rsidRPr="00C406BC">
        <w:rPr>
          <w:rFonts w:ascii="Traditional Arabic" w:eastAsia="Calibri" w:hAnsi="Traditional Arabic" w:cs="Traditional Arabic"/>
          <w:b/>
          <w:bCs/>
          <w:color w:val="auto"/>
          <w:sz w:val="40"/>
          <w:szCs w:val="40"/>
        </w:rPr>
        <w:t xml:space="preserve">المطلب الثاني: </w:t>
      </w:r>
      <w:r w:rsidR="00074622">
        <w:rPr>
          <w:rFonts w:ascii="Traditional Arabic" w:eastAsia="Calibri" w:hAnsi="Traditional Arabic" w:cs="Traditional Arabic" w:hint="cs"/>
          <w:b/>
          <w:bCs/>
          <w:color w:val="auto"/>
          <w:sz w:val="40"/>
          <w:szCs w:val="40"/>
        </w:rPr>
        <w:t>علاقة التقادم ب</w:t>
      </w:r>
      <w:r w:rsidRPr="00C406BC">
        <w:rPr>
          <w:rFonts w:ascii="Traditional Arabic" w:eastAsia="Calibri" w:hAnsi="Traditional Arabic" w:cs="Traditional Arabic"/>
          <w:b/>
          <w:bCs/>
          <w:color w:val="auto"/>
          <w:sz w:val="40"/>
          <w:szCs w:val="40"/>
        </w:rPr>
        <w:t>النظام العام</w:t>
      </w:r>
      <w:r w:rsidR="00074622">
        <w:rPr>
          <w:rFonts w:ascii="Traditional Arabic" w:eastAsia="Calibri" w:hAnsi="Traditional Arabic" w:cs="Traditional Arabic" w:hint="cs"/>
          <w:b/>
          <w:bCs/>
          <w:color w:val="auto"/>
          <w:sz w:val="40"/>
          <w:szCs w:val="40"/>
        </w:rPr>
        <w:t xml:space="preserve">: </w:t>
      </w:r>
      <w:r w:rsidRPr="00C406BC">
        <w:rPr>
          <w:rFonts w:ascii="Traditional Arabic" w:eastAsia="Calibri" w:hAnsi="Traditional Arabic" w:cs="Traditional Arabic"/>
          <w:b/>
          <w:bCs/>
          <w:color w:val="auto"/>
          <w:sz w:val="40"/>
          <w:szCs w:val="40"/>
        </w:rPr>
        <w:t xml:space="preserve"> </w:t>
      </w:r>
      <w:bookmarkEnd w:id="20"/>
    </w:p>
    <w:p w14:paraId="5326E6BC" w14:textId="710D0051" w:rsidR="00286DB0" w:rsidRPr="00074622" w:rsidRDefault="00074622" w:rsidP="00C406BC">
      <w:pPr>
        <w:spacing w:after="240" w:line="360" w:lineRule="auto"/>
        <w:ind w:firstLine="720"/>
        <w:rPr>
          <w:rFonts w:ascii="Traditional Arabic" w:eastAsia="Calibri" w:hAnsi="Traditional Arabic" w:cs="Traditional Arabic"/>
          <w:sz w:val="40"/>
          <w:szCs w:val="40"/>
          <w:rtl/>
        </w:rPr>
      </w:pPr>
      <w:r>
        <w:rPr>
          <w:rFonts w:ascii="Traditional Arabic" w:eastAsia="Calibri" w:hAnsi="Traditional Arabic" w:cs="Traditional Arabic" w:hint="cs"/>
          <w:sz w:val="40"/>
          <w:szCs w:val="40"/>
          <w:rtl/>
        </w:rPr>
        <w:t>الفرع الأول:</w:t>
      </w:r>
      <w:r w:rsidRPr="00074622">
        <w:rPr>
          <w:rFonts w:ascii="Traditional Arabic" w:eastAsia="Calibri" w:hAnsi="Traditional Arabic" w:cs="Traditional Arabic" w:hint="cs"/>
          <w:sz w:val="40"/>
          <w:szCs w:val="40"/>
          <w:rtl/>
        </w:rPr>
        <w:t xml:space="preserve"> تعري</w:t>
      </w:r>
      <w:r w:rsidRPr="00074622">
        <w:rPr>
          <w:rFonts w:ascii="Traditional Arabic" w:eastAsia="Calibri" w:hAnsi="Traditional Arabic" w:cs="Traditional Arabic" w:hint="eastAsia"/>
          <w:sz w:val="40"/>
          <w:szCs w:val="40"/>
          <w:rtl/>
        </w:rPr>
        <w:t>ف</w:t>
      </w:r>
      <w:r w:rsidR="00286DB0" w:rsidRPr="00074622">
        <w:rPr>
          <w:rFonts w:ascii="Traditional Arabic" w:eastAsia="Calibri" w:hAnsi="Traditional Arabic" w:cs="Traditional Arabic"/>
          <w:sz w:val="40"/>
          <w:szCs w:val="40"/>
          <w:rtl/>
        </w:rPr>
        <w:t xml:space="preserve"> النظام العام</w:t>
      </w:r>
      <w:r>
        <w:rPr>
          <w:rFonts w:ascii="Traditional Arabic" w:eastAsia="Calibri" w:hAnsi="Traditional Arabic" w:cs="Traditional Arabic" w:hint="cs"/>
          <w:sz w:val="40"/>
          <w:szCs w:val="40"/>
          <w:rtl/>
        </w:rPr>
        <w:t>:</w:t>
      </w:r>
    </w:p>
    <w:p w14:paraId="0D6ED23C" w14:textId="759D4975" w:rsidR="00C406BC" w:rsidRPr="00C406BC" w:rsidRDefault="00286DB0" w:rsidP="00074622">
      <w:pPr>
        <w:spacing w:after="240" w:line="360" w:lineRule="auto"/>
        <w:ind w:firstLine="720"/>
        <w:rPr>
          <w:rFonts w:ascii="Traditional Arabic" w:eastAsia="Calibri" w:hAnsi="Traditional Arabic" w:cs="Traditional Arabic"/>
          <w:sz w:val="40"/>
          <w:szCs w:val="40"/>
          <w:rtl/>
        </w:rPr>
      </w:pPr>
      <w:r w:rsidRPr="00C406BC">
        <w:rPr>
          <w:rFonts w:ascii="Traditional Arabic" w:eastAsia="Calibri" w:hAnsi="Traditional Arabic" w:cs="Traditional Arabic"/>
          <w:sz w:val="40"/>
          <w:szCs w:val="40"/>
          <w:rtl/>
        </w:rPr>
        <w:t>النظام العام هو مجموعة من القواعد والمبادئ التي تهدف إلى حماية المصلحة العامة والحفاظ على السلم الاجتماعي والأمن والاستقرار داخل المجتمع. تتسم قواعد النظام العام بأنها لا يجوز الاتفاق على مخالفتها لأنها تتعلق بأساسيات النظام القانوني والأخلاقي في المجتمع</w:t>
      </w:r>
      <w:r w:rsidRPr="00C406BC">
        <w:rPr>
          <w:rFonts w:ascii="Traditional Arabic" w:eastAsia="Calibri" w:hAnsi="Traditional Arabic" w:cs="Traditional Arabic"/>
          <w:sz w:val="40"/>
          <w:szCs w:val="40"/>
        </w:rPr>
        <w:t>.</w:t>
      </w:r>
    </w:p>
    <w:p w14:paraId="2B7AD149" w14:textId="0B0D40BB" w:rsidR="00286DB0" w:rsidRPr="00074622" w:rsidRDefault="00286DB0" w:rsidP="00074622">
      <w:pPr>
        <w:spacing w:after="240" w:line="360" w:lineRule="auto"/>
        <w:rPr>
          <w:rFonts w:ascii="Traditional Arabic" w:eastAsia="Calibri" w:hAnsi="Traditional Arabic" w:cs="Traditional Arabic"/>
          <w:sz w:val="40"/>
          <w:szCs w:val="40"/>
        </w:rPr>
      </w:pPr>
      <w:r w:rsidRPr="00074622">
        <w:rPr>
          <w:rFonts w:ascii="Traditional Arabic" w:eastAsia="Calibri" w:hAnsi="Traditional Arabic" w:cs="Traditional Arabic"/>
          <w:sz w:val="40"/>
          <w:szCs w:val="40"/>
          <w:rtl/>
        </w:rPr>
        <w:t xml:space="preserve">الفرع </w:t>
      </w:r>
      <w:r w:rsidR="00050626" w:rsidRPr="00074622">
        <w:rPr>
          <w:rFonts w:ascii="Traditional Arabic" w:eastAsia="Calibri" w:hAnsi="Traditional Arabic" w:cs="Traditional Arabic" w:hint="cs"/>
          <w:sz w:val="40"/>
          <w:szCs w:val="40"/>
          <w:rtl/>
        </w:rPr>
        <w:t>ال</w:t>
      </w:r>
      <w:r w:rsidR="00050626">
        <w:rPr>
          <w:rFonts w:ascii="Traditional Arabic" w:eastAsia="Calibri" w:hAnsi="Traditional Arabic" w:cs="Traditional Arabic" w:hint="cs"/>
          <w:sz w:val="40"/>
          <w:szCs w:val="40"/>
          <w:rtl/>
        </w:rPr>
        <w:t>ثاني</w:t>
      </w:r>
      <w:r w:rsidR="00050626" w:rsidRPr="00074622">
        <w:rPr>
          <w:rFonts w:ascii="Traditional Arabic" w:eastAsia="Calibri" w:hAnsi="Traditional Arabic" w:cs="Traditional Arabic" w:hint="cs"/>
          <w:sz w:val="40"/>
          <w:szCs w:val="40"/>
          <w:rtl/>
        </w:rPr>
        <w:t xml:space="preserve">: </w:t>
      </w:r>
      <w:r w:rsidR="00050626">
        <w:rPr>
          <w:rFonts w:ascii="Traditional Arabic" w:eastAsia="Calibri" w:hAnsi="Traditional Arabic" w:cs="Traditional Arabic" w:hint="cs"/>
          <w:sz w:val="40"/>
          <w:szCs w:val="40"/>
          <w:rtl/>
        </w:rPr>
        <w:t>علاقة</w:t>
      </w:r>
      <w:r w:rsidR="00074622">
        <w:rPr>
          <w:rFonts w:ascii="Traditional Arabic" w:eastAsia="Calibri" w:hAnsi="Traditional Arabic" w:cs="Traditional Arabic" w:hint="cs"/>
          <w:sz w:val="40"/>
          <w:szCs w:val="40"/>
          <w:rtl/>
        </w:rPr>
        <w:t xml:space="preserve"> التقادم ب</w:t>
      </w:r>
      <w:r w:rsidRPr="00074622">
        <w:rPr>
          <w:rFonts w:ascii="Traditional Arabic" w:eastAsia="Calibri" w:hAnsi="Traditional Arabic" w:cs="Traditional Arabic"/>
          <w:sz w:val="40"/>
          <w:szCs w:val="40"/>
          <w:rtl/>
        </w:rPr>
        <w:t>الصالح العام</w:t>
      </w:r>
      <w:r w:rsidR="00074622">
        <w:rPr>
          <w:rFonts w:ascii="Traditional Arabic" w:eastAsia="Calibri" w:hAnsi="Traditional Arabic" w:cs="Traditional Arabic" w:hint="cs"/>
          <w:sz w:val="40"/>
          <w:szCs w:val="40"/>
          <w:rtl/>
        </w:rPr>
        <w:t>:</w:t>
      </w:r>
    </w:p>
    <w:p w14:paraId="21BBA0BB" w14:textId="58967149" w:rsidR="00286DB0" w:rsidRPr="00C406BC" w:rsidRDefault="00286DB0" w:rsidP="00C406BC">
      <w:pPr>
        <w:spacing w:after="240" w:line="360" w:lineRule="auto"/>
        <w:ind w:firstLine="720"/>
        <w:rPr>
          <w:rFonts w:ascii="Traditional Arabic" w:eastAsia="Calibri" w:hAnsi="Traditional Arabic" w:cs="Traditional Arabic"/>
          <w:sz w:val="40"/>
          <w:szCs w:val="40"/>
        </w:rPr>
      </w:pPr>
      <w:r w:rsidRPr="00C406BC">
        <w:rPr>
          <w:rFonts w:ascii="Traditional Arabic" w:eastAsia="Calibri" w:hAnsi="Traditional Arabic" w:cs="Traditional Arabic"/>
          <w:sz w:val="40"/>
          <w:szCs w:val="40"/>
          <w:rtl/>
        </w:rPr>
        <w:t>يقوم التقادم أساساً على فكرة أن بقاء الحقوق معلقة مدة طويلة جداً يخل بالمصلحة العامة، حيث يؤدي إلى عدم استقرار المعاملات في المجتمع</w:t>
      </w:r>
      <w:r w:rsidR="0045045B">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ومن ثم</w:t>
      </w:r>
      <w:r w:rsidR="0045045B">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فإن من يتراخى في </w:t>
      </w:r>
      <w:r w:rsidRPr="00C406BC">
        <w:rPr>
          <w:rFonts w:ascii="Traditional Arabic" w:eastAsia="Calibri" w:hAnsi="Traditional Arabic" w:cs="Traditional Arabic"/>
          <w:sz w:val="40"/>
          <w:szCs w:val="40"/>
          <w:rtl/>
        </w:rPr>
        <w:lastRenderedPageBreak/>
        <w:t xml:space="preserve">المطالبة بحقه مدة طويلة، </w:t>
      </w:r>
      <w:r w:rsidR="0045045B">
        <w:rPr>
          <w:rFonts w:ascii="Traditional Arabic" w:eastAsia="Calibri" w:hAnsi="Traditional Arabic" w:cs="Traditional Arabic" w:hint="cs"/>
          <w:sz w:val="40"/>
          <w:szCs w:val="40"/>
          <w:rtl/>
        </w:rPr>
        <w:t xml:space="preserve">فأنه </w:t>
      </w:r>
      <w:r w:rsidRPr="00C406BC">
        <w:rPr>
          <w:rFonts w:ascii="Traditional Arabic" w:eastAsia="Calibri" w:hAnsi="Traditional Arabic" w:cs="Traditional Arabic"/>
          <w:sz w:val="40"/>
          <w:szCs w:val="40"/>
          <w:rtl/>
        </w:rPr>
        <w:t>يفترض أنه</w:t>
      </w:r>
      <w:r w:rsidR="0045045B">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إما قد استوفى حقه، أو أنه أهمل ذلك، وهو إذاً جدير بأن يجازى على ذلك بأن يفقد ذلك الحق</w:t>
      </w:r>
      <w:r w:rsidRPr="00C406BC">
        <w:rPr>
          <w:rFonts w:ascii="Traditional Arabic" w:eastAsia="Calibri" w:hAnsi="Traditional Arabic" w:cs="Traditional Arabic"/>
          <w:sz w:val="40"/>
          <w:szCs w:val="40"/>
        </w:rPr>
        <w:t>.</w:t>
      </w:r>
      <w:r w:rsidRPr="00C406BC">
        <w:rPr>
          <w:rFonts w:ascii="Traditional Arabic" w:eastAsia="Calibri" w:hAnsi="Traditional Arabic" w:cs="Traditional Arabic"/>
          <w:sz w:val="40"/>
          <w:szCs w:val="40"/>
          <w:vertAlign w:val="superscript"/>
        </w:rPr>
        <w:footnoteReference w:id="15"/>
      </w:r>
    </w:p>
    <w:p w14:paraId="3611FD27" w14:textId="70F751A2" w:rsidR="00286DB0" w:rsidRPr="00C406BC" w:rsidRDefault="00286DB0" w:rsidP="00C406BC">
      <w:pPr>
        <w:spacing w:after="240" w:line="360" w:lineRule="auto"/>
        <w:ind w:firstLine="720"/>
        <w:rPr>
          <w:rFonts w:ascii="Traditional Arabic" w:eastAsia="Calibri" w:hAnsi="Traditional Arabic" w:cs="Traditional Arabic"/>
          <w:sz w:val="40"/>
          <w:szCs w:val="40"/>
        </w:rPr>
      </w:pPr>
      <w:r w:rsidRPr="00C406BC">
        <w:rPr>
          <w:rFonts w:ascii="Traditional Arabic" w:eastAsia="Calibri" w:hAnsi="Traditional Arabic" w:cs="Traditional Arabic"/>
          <w:sz w:val="40"/>
          <w:szCs w:val="40"/>
          <w:rtl/>
        </w:rPr>
        <w:t>وليس من شك في أن قرار مجلس الوزراء السعودي رقم (968) حين ضرب أجلاً تسقط بعده المطالبة بالحقوق تجاه الخزانة العامة للدولة، إنما قام على حكمة نظامية ارتآها تستوجب هذا السقوط إذا لم يكن ثمة عذر حال دون المطالبة، وهي وضع حد تنتهي عنده المطالبة بالحق الذي يكون مدينة به الخزانة العامة للدولة، بغية استقرار الأوضاع للميزانية، التي تعد سنوياً، متضمنة الإيرادات، وما تواجهه من مصروفات، وعدم تعرضها لمفاجآت المطالبة بحق مضت عليه مدة طويلة دون أن يطالب به صاحبه، وما ينطوي عليه من تحميل الميزانية أعباء مالية لم يكن في حسبانها بمضي تلك المدة، وبالتالي لم تواجهها عند إعدادها بالمبالغ اللازمة للوفاء بها</w:t>
      </w:r>
      <w:r w:rsidR="0045045B">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وإن إلزامها بذلك مع عدم وجود العذر المانع من المطالبة يفترض فيه - بحسب ما اتجهت إليه نية مجلس الوزراء - أنه تكليف للخزانة بما يجاوز السعة، مما يجب معه رفع هذا العبء عن عاتقها</w:t>
      </w:r>
      <w:r w:rsidR="00460AD9">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ولا يجوز لصاحب الحق أن يحتج بقيام حقه في المطالبة، بعد أن </w:t>
      </w:r>
      <w:r w:rsidRPr="00C406BC">
        <w:rPr>
          <w:rFonts w:ascii="Traditional Arabic" w:eastAsia="Calibri" w:hAnsi="Traditional Arabic" w:cs="Traditional Arabic"/>
          <w:sz w:val="40"/>
          <w:szCs w:val="40"/>
          <w:rtl/>
        </w:rPr>
        <w:lastRenderedPageBreak/>
        <w:t>تقاعس دون عذر خلال المدة التي حددها القرار، إذ يفترض فيه أنه قد أهمل هذا الحق، ولم يعد متمسكاً بالمطالبة به، والأصل براءة الذمة</w:t>
      </w:r>
      <w:r w:rsidRPr="00C406BC">
        <w:rPr>
          <w:rFonts w:ascii="Traditional Arabic" w:eastAsia="Calibri" w:hAnsi="Traditional Arabic" w:cs="Traditional Arabic"/>
          <w:sz w:val="40"/>
          <w:szCs w:val="40"/>
        </w:rPr>
        <w:t>.</w:t>
      </w:r>
      <w:r w:rsidRPr="00C406BC">
        <w:rPr>
          <w:rFonts w:ascii="Traditional Arabic" w:eastAsia="Calibri" w:hAnsi="Traditional Arabic" w:cs="Traditional Arabic"/>
          <w:sz w:val="40"/>
          <w:szCs w:val="40"/>
          <w:vertAlign w:val="superscript"/>
        </w:rPr>
        <w:footnoteReference w:id="16"/>
      </w:r>
    </w:p>
    <w:p w14:paraId="6B298520" w14:textId="4694BBDB" w:rsidR="00286DB0" w:rsidRPr="00C406BC" w:rsidRDefault="00286DB0" w:rsidP="00C406BC">
      <w:pPr>
        <w:spacing w:after="240" w:line="360" w:lineRule="auto"/>
        <w:ind w:firstLine="720"/>
        <w:rPr>
          <w:rFonts w:ascii="Traditional Arabic" w:eastAsia="Calibri" w:hAnsi="Traditional Arabic" w:cs="Traditional Arabic"/>
          <w:sz w:val="40"/>
          <w:szCs w:val="40"/>
        </w:rPr>
      </w:pPr>
      <w:r w:rsidRPr="00C406BC">
        <w:rPr>
          <w:rFonts w:ascii="Traditional Arabic" w:eastAsia="Calibri" w:hAnsi="Traditional Arabic" w:cs="Traditional Arabic"/>
          <w:sz w:val="40"/>
          <w:szCs w:val="40"/>
          <w:rtl/>
        </w:rPr>
        <w:t>على أن ما يهمنا هنا هو التأكيد على أن الأصل هو</w:t>
      </w:r>
      <w:r w:rsidR="00460AD9">
        <w:rPr>
          <w:rFonts w:ascii="Traditional Arabic" w:eastAsia="Calibri" w:hAnsi="Traditional Arabic" w:cs="Traditional Arabic" w:hint="cs"/>
          <w:sz w:val="40"/>
          <w:szCs w:val="40"/>
          <w:rtl/>
        </w:rPr>
        <w:t xml:space="preserve"> </w:t>
      </w:r>
      <w:r w:rsidRPr="00C406BC">
        <w:rPr>
          <w:rFonts w:ascii="Traditional Arabic" w:eastAsia="Calibri" w:hAnsi="Traditional Arabic" w:cs="Traditional Arabic"/>
          <w:sz w:val="40"/>
          <w:szCs w:val="40"/>
          <w:rtl/>
        </w:rPr>
        <w:t>أن الحق في التعويض شأنه في ذلك شأن أي حق آخر لا يسقط مهما تقادم العهد عليه، دون الوفاء به لصاحبه، بل تظل ذمة المدين مشغولة به إلى أن يقتضيه الدائن منه</w:t>
      </w:r>
      <w:r w:rsidR="00460AD9">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والاعتبارات التي يقوم عليها حكم قرار مجلس الوزراء بسقوط المطالبة - ودون مساس بأصل الحق المطالب به - هي اعتبارات تنظيمية تتعلق بالمصلحة العامة، وتهدف إلى استقرار الأوضاع الإدارية</w:t>
      </w:r>
      <w:r w:rsidRPr="00C406BC">
        <w:rPr>
          <w:rFonts w:ascii="Traditional Arabic" w:eastAsia="Calibri" w:hAnsi="Traditional Arabic" w:cs="Traditional Arabic"/>
          <w:sz w:val="40"/>
          <w:szCs w:val="40"/>
        </w:rPr>
        <w:t>.</w:t>
      </w:r>
    </w:p>
    <w:p w14:paraId="3A754D14" w14:textId="325B6B93" w:rsidR="00286DB0" w:rsidRPr="00C406BC" w:rsidRDefault="00460AD9" w:rsidP="00050626">
      <w:pPr>
        <w:spacing w:after="240" w:line="360" w:lineRule="auto"/>
        <w:ind w:firstLine="720"/>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t xml:space="preserve">إن من الجدير بالتنبيه إليه أن </w:t>
      </w:r>
      <w:r w:rsidR="00286DB0" w:rsidRPr="00C406BC">
        <w:rPr>
          <w:rFonts w:ascii="Traditional Arabic" w:eastAsia="Calibri" w:hAnsi="Traditional Arabic" w:cs="Traditional Arabic"/>
          <w:sz w:val="40"/>
          <w:szCs w:val="40"/>
          <w:rtl/>
        </w:rPr>
        <w:t>الحماية التي تنظمها السلطة العامة، بواسطة الدعوى لتلك الحقوق، يجوز منعها إذا بدا لتلك السلطة أن هذه الحماية أصبحت تتعارض مع الصالح العام، ومن ثم تضع أجلاً لا يستطيع الأفراد بعد انقضائه طلب الحماية العامة، وإن بقي الحق من الناحية الخلقية</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الطبيعي</w:t>
      </w:r>
      <w:r>
        <w:rPr>
          <w:rFonts w:ascii="Traditional Arabic" w:eastAsia="Calibri" w:hAnsi="Traditional Arabic" w:cs="Traditional Arabic" w:hint="cs"/>
          <w:sz w:val="40"/>
          <w:szCs w:val="40"/>
          <w:rtl/>
        </w:rPr>
        <w:t xml:space="preserve">ة، </w:t>
      </w:r>
      <w:r w:rsidR="00286DB0" w:rsidRPr="00C406BC">
        <w:rPr>
          <w:rFonts w:ascii="Traditional Arabic" w:eastAsia="Calibri" w:hAnsi="Traditional Arabic" w:cs="Traditional Arabic"/>
          <w:sz w:val="40"/>
          <w:szCs w:val="40"/>
          <w:rtl/>
        </w:rPr>
        <w:t>ليس هذا وحسب، بل إن نظام التقادم يقوم على أساس عدم ترك الملكية معلقة</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غير مستقرة</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فالمالك الذي يهمل ملكه</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ولا يطالب به أثناء المدة </w:t>
      </w:r>
      <w:r w:rsidR="00286DB0" w:rsidRPr="00C406BC">
        <w:rPr>
          <w:rFonts w:ascii="Traditional Arabic" w:eastAsia="Calibri" w:hAnsi="Traditional Arabic" w:cs="Traditional Arabic"/>
          <w:sz w:val="40"/>
          <w:szCs w:val="40"/>
          <w:rtl/>
        </w:rPr>
        <w:lastRenderedPageBreak/>
        <w:t>المحددة للتقادم، لا يستحق الحماية</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ويفضل عدم سماع دعواه</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بل </w:t>
      </w:r>
      <w:r>
        <w:rPr>
          <w:rFonts w:ascii="Traditional Arabic" w:eastAsia="Calibri" w:hAnsi="Traditional Arabic" w:cs="Traditional Arabic" w:hint="cs"/>
          <w:sz w:val="40"/>
          <w:szCs w:val="40"/>
          <w:rtl/>
        </w:rPr>
        <w:t>الحكم ب</w:t>
      </w:r>
      <w:r w:rsidR="00286DB0" w:rsidRPr="00C406BC">
        <w:rPr>
          <w:rFonts w:ascii="Traditional Arabic" w:eastAsia="Calibri" w:hAnsi="Traditional Arabic" w:cs="Traditional Arabic"/>
          <w:sz w:val="40"/>
          <w:szCs w:val="40"/>
          <w:rtl/>
        </w:rPr>
        <w:t>انقضاء الالتزام نهائيا بالتقادم، ويضاف إلى ذلك أن التقادم يضع نهاية لعدم الاستقرار، ويحول دون رفع الدعاوى، ويزيد في تقرير القاعدة التي تقول إن نظام التقادم حمى منيع للناس</w:t>
      </w:r>
      <w:r>
        <w:rPr>
          <w:rFonts w:ascii="Traditional Arabic" w:eastAsia="Calibri" w:hAnsi="Traditional Arabic" w:cs="Traditional Arabic" w:hint="cs"/>
          <w:sz w:val="40"/>
          <w:szCs w:val="40"/>
          <w:rtl/>
        </w:rPr>
        <w:t xml:space="preserve">، </w:t>
      </w:r>
      <w:r w:rsidR="00286DB0" w:rsidRPr="00C406BC">
        <w:rPr>
          <w:rFonts w:ascii="Traditional Arabic" w:eastAsia="Calibri" w:hAnsi="Traditional Arabic" w:cs="Traditional Arabic"/>
          <w:sz w:val="40"/>
          <w:szCs w:val="40"/>
          <w:rtl/>
        </w:rPr>
        <w:t>هذا من جهة، ومن جهة أخرى فإن</w:t>
      </w:r>
      <w:r>
        <w:rPr>
          <w:rFonts w:ascii="Traditional Arabic" w:eastAsia="Calibri" w:hAnsi="Traditional Arabic" w:cs="Traditional Arabic" w:hint="cs"/>
          <w:sz w:val="40"/>
          <w:szCs w:val="40"/>
          <w:rtl/>
        </w:rPr>
        <w:t xml:space="preserve"> من فقهاء القانون</w:t>
      </w:r>
      <w:r w:rsidR="00E678E6">
        <w:rPr>
          <w:rFonts w:ascii="Traditional Arabic" w:eastAsia="Calibri" w:hAnsi="Traditional Arabic" w:cs="Traditional Arabic" w:hint="cs"/>
          <w:sz w:val="40"/>
          <w:szCs w:val="40"/>
          <w:rtl/>
        </w:rPr>
        <w:t xml:space="preserve"> من</w:t>
      </w:r>
      <w:r w:rsidR="00286DB0" w:rsidRPr="00C406BC">
        <w:rPr>
          <w:rFonts w:ascii="Traditional Arabic" w:eastAsia="Calibri" w:hAnsi="Traditional Arabic" w:cs="Traditional Arabic"/>
          <w:sz w:val="40"/>
          <w:szCs w:val="40"/>
          <w:rtl/>
        </w:rPr>
        <w:t xml:space="preserve"> يشبه الأساس الذي يقوم عليه</w:t>
      </w:r>
      <w:r w:rsidR="00E678E6">
        <w:rPr>
          <w:rFonts w:ascii="Traditional Arabic" w:eastAsia="Calibri" w:hAnsi="Traditional Arabic" w:cs="Traditional Arabic" w:hint="cs"/>
          <w:sz w:val="40"/>
          <w:szCs w:val="40"/>
          <w:rtl/>
        </w:rPr>
        <w:t xml:space="preserve"> التقادم </w:t>
      </w:r>
      <w:r w:rsidR="00286DB0" w:rsidRPr="00C406BC">
        <w:rPr>
          <w:rFonts w:ascii="Traditional Arabic" w:eastAsia="Calibri" w:hAnsi="Traditional Arabic" w:cs="Traditional Arabic"/>
          <w:sz w:val="40"/>
          <w:szCs w:val="40"/>
          <w:rtl/>
        </w:rPr>
        <w:t xml:space="preserve"> </w:t>
      </w:r>
      <w:r w:rsidR="00E678E6">
        <w:rPr>
          <w:rFonts w:ascii="Traditional Arabic" w:eastAsia="Calibri" w:hAnsi="Traditional Arabic" w:cs="Traditional Arabic" w:hint="cs"/>
          <w:sz w:val="40"/>
          <w:szCs w:val="40"/>
          <w:rtl/>
        </w:rPr>
        <w:t>ب</w:t>
      </w:r>
      <w:r w:rsidR="00286DB0" w:rsidRPr="00C406BC">
        <w:rPr>
          <w:rFonts w:ascii="Traditional Arabic" w:eastAsia="Calibri" w:hAnsi="Traditional Arabic" w:cs="Traditional Arabic"/>
          <w:sz w:val="40"/>
          <w:szCs w:val="40"/>
          <w:rtl/>
        </w:rPr>
        <w:t>مبدأ الأمر المقضي به، فإذا كانت الحاجة ماسة إلى استقرار الحقوق، ووضع حد للمنازعات</w:t>
      </w:r>
      <w:r w:rsidR="00E678E6">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والدعاوى</w:t>
      </w:r>
      <w:r w:rsidR="00E678E6">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مما دعا إلى تقرير القرينة التي تقضي بأن حكم القاضي إنما يعبر عن الحقيقة، فإن نفس هذه الحاجة قد دعت إلى تقرير أن مضي مدة التقادم قرينة على سقوط الحق، وبنفس القدر الذي يحول فيه مبدأ الأمر المقضي به عن استمرار المنازعات</w:t>
      </w:r>
      <w:r w:rsidR="00E678E6">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والدعاوى إلى ما لا نهاية، يحول نظام التقادم عن استمرار عدم استقرار الحقوق</w:t>
      </w:r>
      <w:r w:rsidR="00E678E6">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ورفع الدعاوى إلى ما لا نهاية أيضاً، ويكفي للتدليل على ضرورة نظام التقادم أن الصالح العام هو الذي يبرره، ذلك أن الضرورات الاجتماعية تقضي بوضع حد زمني لاستعمال الحقوق والدعاوى، ثم إن الشريعة الإسلامية تقرر مبدأ عاماً هو </w:t>
      </w:r>
      <w:r w:rsidR="00286DB0" w:rsidRPr="00C406BC">
        <w:rPr>
          <w:rFonts w:ascii="Traditional Arabic" w:eastAsia="Calibri" w:hAnsi="Traditional Arabic" w:cs="Traditional Arabic"/>
          <w:sz w:val="40"/>
          <w:szCs w:val="40"/>
          <w:rtl/>
        </w:rPr>
        <w:lastRenderedPageBreak/>
        <w:t>جواز كسب الحق</w:t>
      </w:r>
      <w:r w:rsidR="00E678E6">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سقوطه بمضي الزمان، وعدم سماع الدعوى بمضي الزمان عند الإنكار</w:t>
      </w:r>
      <w:r w:rsidR="00286DB0" w:rsidRPr="00C406BC">
        <w:rPr>
          <w:rFonts w:ascii="Traditional Arabic" w:eastAsia="Calibri" w:hAnsi="Traditional Arabic" w:cs="Traditional Arabic"/>
          <w:sz w:val="40"/>
          <w:szCs w:val="40"/>
        </w:rPr>
        <w:t>.</w:t>
      </w:r>
      <w:r w:rsidR="00286DB0" w:rsidRPr="00C406BC">
        <w:rPr>
          <w:rFonts w:ascii="Traditional Arabic" w:eastAsia="Calibri" w:hAnsi="Traditional Arabic" w:cs="Traditional Arabic"/>
          <w:sz w:val="40"/>
          <w:szCs w:val="40"/>
          <w:vertAlign w:val="superscript"/>
        </w:rPr>
        <w:footnoteReference w:id="17"/>
      </w:r>
    </w:p>
    <w:p w14:paraId="411ACAE9" w14:textId="012E4E53" w:rsidR="00286DB0" w:rsidRPr="00C406BC" w:rsidRDefault="00286DB0" w:rsidP="00C406BC">
      <w:pPr>
        <w:spacing w:after="240" w:line="360" w:lineRule="auto"/>
        <w:ind w:firstLine="720"/>
        <w:rPr>
          <w:rFonts w:ascii="Traditional Arabic" w:eastAsia="Calibri" w:hAnsi="Traditional Arabic" w:cs="Traditional Arabic"/>
          <w:sz w:val="40"/>
          <w:szCs w:val="40"/>
        </w:rPr>
      </w:pPr>
      <w:r w:rsidRPr="00C406BC">
        <w:rPr>
          <w:rFonts w:ascii="Traditional Arabic" w:eastAsia="Calibri" w:hAnsi="Traditional Arabic" w:cs="Traditional Arabic"/>
          <w:sz w:val="40"/>
          <w:szCs w:val="40"/>
          <w:rtl/>
        </w:rPr>
        <w:t>يرتكز التقادم على اعتبارات تراعى فيها المصلحة العامة، ذلك أن استقرار التعامل يقوم إلى حد كبير على فكرة التقادم، كما يجب وضع حد للمطالبة بالحقو</w:t>
      </w:r>
      <w:r w:rsidR="00E678E6">
        <w:rPr>
          <w:rFonts w:ascii="Traditional Arabic" w:eastAsia="Calibri" w:hAnsi="Traditional Arabic" w:cs="Traditional Arabic" w:hint="cs"/>
          <w:sz w:val="40"/>
          <w:szCs w:val="40"/>
          <w:rtl/>
        </w:rPr>
        <w:t>ق،</w:t>
      </w:r>
      <w:r w:rsidRPr="00C406BC">
        <w:rPr>
          <w:rFonts w:ascii="Traditional Arabic" w:eastAsia="Calibri" w:hAnsi="Traditional Arabic" w:cs="Traditional Arabic"/>
          <w:sz w:val="40"/>
          <w:szCs w:val="40"/>
          <w:rtl/>
        </w:rPr>
        <w:t xml:space="preserve"> فكما </w:t>
      </w:r>
      <w:r w:rsidR="00E678E6">
        <w:rPr>
          <w:rFonts w:ascii="Traditional Arabic" w:eastAsia="Calibri" w:hAnsi="Traditional Arabic" w:cs="Traditional Arabic" w:hint="cs"/>
          <w:sz w:val="40"/>
          <w:szCs w:val="40"/>
          <w:rtl/>
        </w:rPr>
        <w:t xml:space="preserve">أنه </w:t>
      </w:r>
      <w:r w:rsidRPr="00C406BC">
        <w:rPr>
          <w:rFonts w:ascii="Traditional Arabic" w:eastAsia="Calibri" w:hAnsi="Traditional Arabic" w:cs="Traditional Arabic"/>
          <w:sz w:val="40"/>
          <w:szCs w:val="40"/>
          <w:rtl/>
        </w:rPr>
        <w:t>لا يجوز أن يتجدد النزاع في كل وقت، كذلك لا يبقى حق الدائن في المطالبة إلى ما لا نهاية</w:t>
      </w:r>
      <w:r w:rsidRPr="00C406BC">
        <w:rPr>
          <w:rFonts w:ascii="Traditional Arabic" w:eastAsia="Calibri" w:hAnsi="Traditional Arabic" w:cs="Traditional Arabic"/>
          <w:sz w:val="40"/>
          <w:szCs w:val="40"/>
        </w:rPr>
        <w:t>.</w:t>
      </w:r>
    </w:p>
    <w:p w14:paraId="3BE733E5" w14:textId="1AB01CB8" w:rsidR="00286DB0" w:rsidRPr="00C406BC" w:rsidRDefault="00286DB0" w:rsidP="00C406BC">
      <w:pPr>
        <w:spacing w:after="240" w:line="360" w:lineRule="auto"/>
        <w:ind w:firstLine="720"/>
        <w:rPr>
          <w:rFonts w:ascii="Traditional Arabic" w:eastAsia="Calibri" w:hAnsi="Traditional Arabic" w:cs="Traditional Arabic"/>
          <w:sz w:val="40"/>
          <w:szCs w:val="40"/>
        </w:rPr>
      </w:pPr>
      <w:r w:rsidRPr="00C406BC">
        <w:rPr>
          <w:rFonts w:ascii="Traditional Arabic" w:eastAsia="Calibri" w:hAnsi="Traditional Arabic" w:cs="Traditional Arabic"/>
          <w:sz w:val="40"/>
          <w:szCs w:val="40"/>
          <w:rtl/>
        </w:rPr>
        <w:t>فالتقادم العادي - مثلاً - لا يقوم على قرينة الوفاء أكثر مما يقوم على وجوب احترام الأوضاع المستقرة، على خلاف ما عليه الحال في التقادم الخمسي المقرر للحقوق الناشئة عن الأوراق التجارية، والحقوق التي تتقادم بسنة</w:t>
      </w:r>
      <w:r w:rsidR="00E678E6">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أو سنتين</w:t>
      </w:r>
      <w:r w:rsidR="00E678E6">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أو ثلاث</w:t>
      </w:r>
      <w:r w:rsidR="00E678E6">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فالتقادم مبني في كل منها على قرينة الوفاء، إذ ليس من المألوف أن يسكت الدائن عن استيفاء حقه أكثر من المدة التي حددها النظام، فعدم المطالبة بها، والسكوت تلك المدة يفترض فيه أنه استوفى حقه</w:t>
      </w:r>
      <w:r w:rsidRPr="00C406BC">
        <w:rPr>
          <w:rFonts w:ascii="Traditional Arabic" w:eastAsia="Calibri" w:hAnsi="Traditional Arabic" w:cs="Traditional Arabic"/>
          <w:sz w:val="40"/>
          <w:szCs w:val="40"/>
        </w:rPr>
        <w:t>.</w:t>
      </w:r>
      <w:r w:rsidRPr="00C406BC">
        <w:rPr>
          <w:rFonts w:ascii="Traditional Arabic" w:eastAsia="Calibri" w:hAnsi="Traditional Arabic" w:cs="Traditional Arabic"/>
          <w:sz w:val="40"/>
          <w:szCs w:val="40"/>
          <w:vertAlign w:val="superscript"/>
        </w:rPr>
        <w:footnoteReference w:id="18"/>
      </w:r>
    </w:p>
    <w:p w14:paraId="2FBEBD92" w14:textId="06B9D597" w:rsidR="00286DB0" w:rsidRPr="00C406BC" w:rsidRDefault="00286DB0" w:rsidP="00C406BC">
      <w:pPr>
        <w:spacing w:after="240" w:line="360" w:lineRule="auto"/>
        <w:ind w:firstLine="720"/>
        <w:rPr>
          <w:rFonts w:ascii="Traditional Arabic" w:eastAsia="Calibri" w:hAnsi="Traditional Arabic" w:cs="Traditional Arabic"/>
          <w:sz w:val="40"/>
          <w:szCs w:val="40"/>
        </w:rPr>
      </w:pPr>
      <w:r w:rsidRPr="00C406BC">
        <w:rPr>
          <w:rFonts w:ascii="Traditional Arabic" w:eastAsia="Calibri" w:hAnsi="Traditional Arabic" w:cs="Traditional Arabic"/>
          <w:sz w:val="40"/>
          <w:szCs w:val="40"/>
          <w:rtl/>
        </w:rPr>
        <w:lastRenderedPageBreak/>
        <w:t>وبناءً على ذلك، لا يجوز للقاضي أن يقضي بتقادم الالتزام الصرفي من تلقاء نفسه، بل يجب أن يكون ذلك بناءً على طلب المدين</w:t>
      </w:r>
      <w:r w:rsidR="005C443B">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أو بناءً على طلب دائنيه، أو أي شخص له مصلحة فيه، وذلك مبني على أن وجوب التمسك بالتقادم لا يعتبر من النظام العام، ولهذا، فإن القاضي لا يمكنه أن يثير قيام التقادم من تلقاء نفسه، بل يجب أن يتمسك به صاحب المصلحة فيه</w:t>
      </w:r>
      <w:r w:rsidR="005C443B">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بل قد ي</w:t>
      </w:r>
      <w:r w:rsidR="005C443B">
        <w:rPr>
          <w:rFonts w:ascii="Traditional Arabic" w:eastAsia="Calibri" w:hAnsi="Traditional Arabic" w:cs="Traditional Arabic" w:hint="cs"/>
          <w:sz w:val="40"/>
          <w:szCs w:val="40"/>
          <w:rtl/>
        </w:rPr>
        <w:t>ستشف</w:t>
      </w:r>
      <w:r w:rsidRPr="00C406BC">
        <w:rPr>
          <w:rFonts w:ascii="Traditional Arabic" w:eastAsia="Calibri" w:hAnsi="Traditional Arabic" w:cs="Traditional Arabic"/>
          <w:sz w:val="40"/>
          <w:szCs w:val="40"/>
          <w:rtl/>
        </w:rPr>
        <w:t xml:space="preserve"> أن تمسك القاضي بالتقادم خروج على مقتضى النزاهة الواجبة، ومخالفة للضمير</w:t>
      </w:r>
      <w:r w:rsidR="005C443B">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والأخلاق</w:t>
      </w:r>
      <w:r w:rsidRPr="00C406BC">
        <w:rPr>
          <w:rFonts w:ascii="Traditional Arabic" w:eastAsia="Calibri" w:hAnsi="Traditional Arabic" w:cs="Traditional Arabic"/>
          <w:sz w:val="40"/>
          <w:szCs w:val="40"/>
        </w:rPr>
        <w:t>.</w:t>
      </w:r>
      <w:r w:rsidRPr="00C406BC">
        <w:rPr>
          <w:rFonts w:ascii="Traditional Arabic" w:eastAsia="Calibri" w:hAnsi="Traditional Arabic" w:cs="Traditional Arabic"/>
          <w:sz w:val="40"/>
          <w:szCs w:val="40"/>
          <w:vertAlign w:val="superscript"/>
        </w:rPr>
        <w:footnoteReference w:id="19"/>
      </w:r>
    </w:p>
    <w:p w14:paraId="437B5AA9" w14:textId="60030245" w:rsidR="00286DB0" w:rsidRPr="00C406BC" w:rsidRDefault="00286DB0" w:rsidP="00C406BC">
      <w:pPr>
        <w:spacing w:after="240" w:line="360" w:lineRule="auto"/>
        <w:ind w:firstLine="720"/>
        <w:rPr>
          <w:rFonts w:ascii="Traditional Arabic" w:eastAsia="Calibri" w:hAnsi="Traditional Arabic" w:cs="Traditional Arabic"/>
          <w:sz w:val="40"/>
          <w:szCs w:val="40"/>
        </w:rPr>
      </w:pPr>
      <w:r w:rsidRPr="00C406BC">
        <w:rPr>
          <w:rFonts w:ascii="Traditional Arabic" w:eastAsia="Calibri" w:hAnsi="Traditional Arabic" w:cs="Traditional Arabic"/>
          <w:sz w:val="40"/>
          <w:szCs w:val="40"/>
          <w:rtl/>
        </w:rPr>
        <w:t xml:space="preserve">ويترتب على عدم اعتبار التمسك بالتقادم من النظام العام </w:t>
      </w:r>
      <w:bookmarkStart w:id="21" w:name="_Hlk180670190"/>
      <w:r w:rsidRPr="00C406BC">
        <w:rPr>
          <w:rFonts w:ascii="Traditional Arabic" w:eastAsia="Calibri" w:hAnsi="Traditional Arabic" w:cs="Traditional Arabic"/>
          <w:sz w:val="40"/>
          <w:szCs w:val="40"/>
          <w:rtl/>
        </w:rPr>
        <w:t>أنه لا يجوز للقاضي</w:t>
      </w:r>
      <w:r w:rsidR="005C443B">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أو المحكمة أن تقضي به من تلقاء نفسها</w:t>
      </w:r>
      <w:bookmarkEnd w:id="21"/>
      <w:r w:rsidR="005C443B">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ومع ذلك، فإن لحامل الورقة التجارية حق طلب توجيه اليمين إلى المدين الذي يتمسك في مواجهته بالتقادم، على أن ذمته غير مشغولة بالدين، ويتعين على القاضي حينئذ أن يجيبه إلى طلبه</w:t>
      </w:r>
      <w:r w:rsidRPr="00C406BC">
        <w:rPr>
          <w:rFonts w:ascii="Traditional Arabic" w:eastAsia="Calibri" w:hAnsi="Traditional Arabic" w:cs="Traditional Arabic"/>
          <w:sz w:val="40"/>
          <w:szCs w:val="40"/>
        </w:rPr>
        <w:t>.</w:t>
      </w:r>
    </w:p>
    <w:p w14:paraId="6E51F051" w14:textId="7D88C4C0" w:rsidR="00286DB0" w:rsidRPr="00C406BC" w:rsidRDefault="005C443B" w:rsidP="00C406BC">
      <w:pPr>
        <w:spacing w:after="240" w:line="360" w:lineRule="auto"/>
        <w:ind w:firstLine="720"/>
        <w:jc w:val="both"/>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t xml:space="preserve">إن </w:t>
      </w:r>
      <w:r w:rsidR="00286DB0" w:rsidRPr="00C406BC">
        <w:rPr>
          <w:rFonts w:ascii="Traditional Arabic" w:eastAsia="Calibri" w:hAnsi="Traditional Arabic" w:cs="Traditional Arabic"/>
          <w:sz w:val="40"/>
          <w:szCs w:val="40"/>
          <w:rtl/>
        </w:rPr>
        <w:t>الحكم في هذه الحالة بالتقادم من حيث القبول</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الرفض يتوقف على أداء اليمين</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ردها، وذلك ليس من شأن النظام العام، وبناءً على ما تقدم، فليس للقاضي سلطة تقديرية </w:t>
      </w:r>
      <w:r w:rsidR="00286DB0" w:rsidRPr="00C406BC">
        <w:rPr>
          <w:rFonts w:ascii="Traditional Arabic" w:eastAsia="Calibri" w:hAnsi="Traditional Arabic" w:cs="Traditional Arabic"/>
          <w:sz w:val="40"/>
          <w:szCs w:val="40"/>
          <w:rtl/>
        </w:rPr>
        <w:lastRenderedPageBreak/>
        <w:t>في أن يحكم بسقوط الدين بالتقادم</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لا يحكم</w:t>
      </w:r>
      <w:r>
        <w:rPr>
          <w:rFonts w:ascii="Traditional Arabic" w:eastAsia="Calibri" w:hAnsi="Traditional Arabic" w:cs="Traditional Arabic" w:hint="cs"/>
          <w:sz w:val="40"/>
          <w:szCs w:val="40"/>
          <w:rtl/>
        </w:rPr>
        <w:t xml:space="preserve"> بذلك</w:t>
      </w:r>
      <w:r w:rsidR="00286DB0" w:rsidRPr="00C406BC">
        <w:rPr>
          <w:rFonts w:ascii="Traditional Arabic" w:eastAsia="Calibri" w:hAnsi="Traditional Arabic" w:cs="Traditional Arabic"/>
          <w:sz w:val="40"/>
          <w:szCs w:val="40"/>
          <w:rtl/>
        </w:rPr>
        <w:t>، بل يجب على ذي المصلحة أن يتمسك بذلك إذا شاء</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وبالتالي</w:t>
      </w:r>
      <w:r>
        <w:rPr>
          <w:rFonts w:ascii="Traditional Arabic" w:eastAsia="Calibri" w:hAnsi="Traditional Arabic" w:cs="Traditional Arabic" w:hint="cs"/>
          <w:sz w:val="40"/>
          <w:szCs w:val="40"/>
          <w:rtl/>
        </w:rPr>
        <w:t>، فإنه</w:t>
      </w:r>
      <w:r w:rsidR="00286DB0" w:rsidRPr="00C406BC">
        <w:rPr>
          <w:rFonts w:ascii="Traditional Arabic" w:eastAsia="Calibri" w:hAnsi="Traditional Arabic" w:cs="Traditional Arabic"/>
          <w:sz w:val="40"/>
          <w:szCs w:val="40"/>
          <w:rtl/>
        </w:rPr>
        <w:t xml:space="preserve"> على القاضي أن يحكم بالدفع</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وبتقادم الدين، كما يجب أن يقع التمسك بالتقادم أمام القضاء، فلا يكفي التمسك به أثناء مفاوضات الصلح</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وفوق ذلك، فإن أية عبارة تدل بوضوح على أن المدين يتمسك بالتقادم تكفي لذلك</w:t>
      </w:r>
      <w:r w:rsidR="00286DB0" w:rsidRPr="00C406BC">
        <w:rPr>
          <w:rFonts w:ascii="Traditional Arabic" w:eastAsia="Calibri" w:hAnsi="Traditional Arabic" w:cs="Traditional Arabic"/>
          <w:sz w:val="40"/>
          <w:szCs w:val="40"/>
        </w:rPr>
        <w:t>.</w:t>
      </w:r>
      <w:r w:rsidR="00286DB0" w:rsidRPr="00C406BC">
        <w:rPr>
          <w:rFonts w:ascii="Traditional Arabic" w:eastAsia="Calibri" w:hAnsi="Traditional Arabic" w:cs="Traditional Arabic"/>
          <w:sz w:val="40"/>
          <w:szCs w:val="40"/>
          <w:vertAlign w:val="superscript"/>
        </w:rPr>
        <w:footnoteReference w:id="20"/>
      </w:r>
    </w:p>
    <w:p w14:paraId="587D34FB" w14:textId="65D82EF2" w:rsidR="00286DB0" w:rsidRPr="00C406BC" w:rsidRDefault="00286DB0" w:rsidP="00C406BC">
      <w:pPr>
        <w:spacing w:after="240" w:line="360" w:lineRule="auto"/>
        <w:ind w:firstLine="720"/>
        <w:jc w:val="both"/>
        <w:rPr>
          <w:rFonts w:ascii="Traditional Arabic" w:eastAsia="Calibri" w:hAnsi="Traditional Arabic" w:cs="Traditional Arabic"/>
          <w:sz w:val="40"/>
          <w:szCs w:val="40"/>
        </w:rPr>
      </w:pPr>
      <w:bookmarkStart w:id="22" w:name="_Hlk180670471"/>
      <w:r w:rsidRPr="00C406BC">
        <w:rPr>
          <w:rFonts w:ascii="Traditional Arabic" w:eastAsia="Calibri" w:hAnsi="Traditional Arabic" w:cs="Traditional Arabic"/>
          <w:sz w:val="40"/>
          <w:szCs w:val="40"/>
          <w:rtl/>
        </w:rPr>
        <w:t>وتأسيساً على ما تقدم، فقد ذهبت بعض أحكام لجنة الأوراق التجارية في الرياض في قرارها</w:t>
      </w:r>
      <w:r w:rsidR="008A2627">
        <w:rPr>
          <w:rFonts w:ascii="Traditional Arabic" w:eastAsia="Calibri" w:hAnsi="Traditional Arabic" w:cs="Traditional Arabic" w:hint="cs"/>
          <w:sz w:val="40"/>
          <w:szCs w:val="40"/>
          <w:rtl/>
        </w:rPr>
        <w:t xml:space="preserve"> رقم:( </w:t>
      </w:r>
      <w:r w:rsidRPr="00C406BC">
        <w:rPr>
          <w:rFonts w:ascii="Traditional Arabic" w:eastAsia="Calibri" w:hAnsi="Traditional Arabic" w:cs="Traditional Arabic"/>
          <w:sz w:val="40"/>
          <w:szCs w:val="40"/>
          <w:rtl/>
        </w:rPr>
        <w:t>99/8 في 1399/5/3ه</w:t>
      </w:r>
      <w:r w:rsidR="008A2627">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w:t>
      </w:r>
      <w:r w:rsidR="008A2627">
        <w:rPr>
          <w:rFonts w:ascii="Traditional Arabic" w:eastAsia="Calibri" w:hAnsi="Traditional Arabic" w:cs="Traditional Arabic" w:hint="cs"/>
          <w:sz w:val="40"/>
          <w:szCs w:val="40"/>
          <w:rtl/>
        </w:rPr>
        <w:t xml:space="preserve"> </w:t>
      </w:r>
      <w:r w:rsidRPr="00C406BC">
        <w:rPr>
          <w:rFonts w:ascii="Traditional Arabic" w:eastAsia="Calibri" w:hAnsi="Traditional Arabic" w:cs="Traditional Arabic"/>
          <w:sz w:val="40"/>
          <w:szCs w:val="40"/>
          <w:rtl/>
        </w:rPr>
        <w:t>وكذلك القرار رقم</w:t>
      </w:r>
      <w:r w:rsidR="008A2627">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1407/128</w:t>
      </w:r>
      <w:r w:rsidR="008A2627">
        <w:rPr>
          <w:rFonts w:ascii="Traditional Arabic" w:eastAsia="Calibri" w:hAnsi="Traditional Arabic" w:cs="Traditional Arabic" w:hint="cs"/>
          <w:sz w:val="40"/>
          <w:szCs w:val="40"/>
          <w:rtl/>
        </w:rPr>
        <w:t xml:space="preserve">)، </w:t>
      </w:r>
      <w:r w:rsidRPr="00C406BC">
        <w:rPr>
          <w:rFonts w:ascii="Traditional Arabic" w:eastAsia="Calibri" w:hAnsi="Traditional Arabic" w:cs="Traditional Arabic"/>
          <w:sz w:val="40"/>
          <w:szCs w:val="40"/>
          <w:rtl/>
        </w:rPr>
        <w:t xml:space="preserve">وتاريخ 1407/6/4هـ </w:t>
      </w:r>
      <w:r w:rsidR="008A2627">
        <w:rPr>
          <w:rFonts w:ascii="Traditional Arabic" w:eastAsia="Calibri" w:hAnsi="Traditional Arabic" w:cs="Traditional Arabic" w:hint="cs"/>
          <w:sz w:val="40"/>
          <w:szCs w:val="40"/>
          <w:rtl/>
        </w:rPr>
        <w:t>إلى اعتبار</w:t>
      </w:r>
      <w:r w:rsidRPr="00C406BC">
        <w:rPr>
          <w:rFonts w:ascii="Traditional Arabic" w:eastAsia="Calibri" w:hAnsi="Traditional Arabic" w:cs="Traditional Arabic"/>
          <w:sz w:val="40"/>
          <w:szCs w:val="40"/>
          <w:rtl/>
        </w:rPr>
        <w:t xml:space="preserve"> قاعدة</w:t>
      </w:r>
      <w:r w:rsidR="008A2627">
        <w:rPr>
          <w:rFonts w:ascii="Traditional Arabic" w:eastAsia="Calibri" w:hAnsi="Traditional Arabic" w:cs="Traditional Arabic" w:hint="cs"/>
          <w:sz w:val="40"/>
          <w:szCs w:val="40"/>
          <w:rtl/>
        </w:rPr>
        <w:t xml:space="preserve"> أن</w:t>
      </w:r>
      <w:r w:rsidRPr="00C406BC">
        <w:rPr>
          <w:rFonts w:ascii="Traditional Arabic" w:eastAsia="Calibri" w:hAnsi="Traditional Arabic" w:cs="Traditional Arabic"/>
          <w:sz w:val="40"/>
          <w:szCs w:val="40"/>
          <w:rtl/>
        </w:rPr>
        <w:t xml:space="preserve"> منع سماع الدعوى تتعلق بالنظام العام، ومن ثم فإن على المحكمة أن تثيرها من تلقاء نفسها، لكن هذا الاتجاه الذي تبنته اللجنة ليس له ما يسنده سواء من النصوص القانونية</w:t>
      </w:r>
      <w:r w:rsidR="008A2627">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أو السوابق القضائية، بل إن اعتبار سماع الدعوى</w:t>
      </w:r>
      <w:r w:rsidR="008A2627">
        <w:rPr>
          <w:rFonts w:ascii="Traditional Arabic" w:eastAsia="Calibri" w:hAnsi="Traditional Arabic" w:cs="Traditional Arabic" w:hint="cs"/>
          <w:sz w:val="40"/>
          <w:szCs w:val="40"/>
          <w:rtl/>
        </w:rPr>
        <w:t xml:space="preserve"> غير</w:t>
      </w:r>
      <w:r w:rsidRPr="00C406BC">
        <w:rPr>
          <w:rFonts w:ascii="Traditional Arabic" w:eastAsia="Calibri" w:hAnsi="Traditional Arabic" w:cs="Traditional Arabic"/>
          <w:sz w:val="40"/>
          <w:szCs w:val="40"/>
          <w:rtl/>
        </w:rPr>
        <w:t xml:space="preserve"> متعلق بالنظام العام</w:t>
      </w:r>
      <w:r w:rsidR="008A2627">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وأنه لا يجوز للمحكمة إثارته من تلقاء نفسها أدعى إلى القبول</w:t>
      </w:r>
      <w:bookmarkEnd w:id="22"/>
      <w:r w:rsidRPr="00C406BC">
        <w:rPr>
          <w:rFonts w:ascii="Traditional Arabic" w:eastAsia="Calibri" w:hAnsi="Traditional Arabic" w:cs="Traditional Arabic"/>
          <w:sz w:val="40"/>
          <w:szCs w:val="40"/>
          <w:rtl/>
        </w:rPr>
        <w:t>، وذلك للأسباب الآتية</w:t>
      </w:r>
      <w:r w:rsidRPr="00C406BC">
        <w:rPr>
          <w:rFonts w:ascii="Traditional Arabic" w:eastAsia="Calibri" w:hAnsi="Traditional Arabic" w:cs="Traditional Arabic"/>
          <w:sz w:val="40"/>
          <w:szCs w:val="40"/>
        </w:rPr>
        <w:t>:</w:t>
      </w:r>
      <w:r w:rsidRPr="00C406BC">
        <w:rPr>
          <w:rFonts w:ascii="Traditional Arabic" w:eastAsia="Calibri" w:hAnsi="Traditional Arabic" w:cs="Traditional Arabic"/>
          <w:sz w:val="40"/>
          <w:szCs w:val="40"/>
          <w:vertAlign w:val="superscript"/>
        </w:rPr>
        <w:footnoteReference w:id="21"/>
      </w:r>
    </w:p>
    <w:p w14:paraId="56666E34" w14:textId="603E1CFE" w:rsidR="00286DB0" w:rsidRPr="00C406BC" w:rsidRDefault="008A2627" w:rsidP="008A2627">
      <w:pPr>
        <w:spacing w:after="240" w:line="360" w:lineRule="auto"/>
        <w:jc w:val="both"/>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lastRenderedPageBreak/>
        <w:t>1-</w:t>
      </w:r>
      <w:bookmarkStart w:id="23" w:name="_Hlk180670769"/>
      <w:r w:rsidR="00286DB0" w:rsidRPr="00C406BC">
        <w:rPr>
          <w:rFonts w:ascii="Traditional Arabic" w:eastAsia="Calibri" w:hAnsi="Traditional Arabic" w:cs="Traditional Arabic"/>
          <w:sz w:val="40"/>
          <w:szCs w:val="40"/>
          <w:rtl/>
        </w:rPr>
        <w:t xml:space="preserve">أن المنظم في النظام السعودي استخدم عبارة </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تسقط</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في الحالات التي يقصد فيها سقوط المطالبة بالحق بعد مضي فترة التقادم المقررة نظاماً، كما استخدم عبارة </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يفقد الحامل</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في الفصل التاسع الخاص بالسقوط، كما استخدم عبارة </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لا تسمع الدعوى</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في الفصل العاشر من نظام الأوراق التجارية، ولا شك أنه قصد بذلك التمييز بين السقوط</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وعدم سماع الدعوى</w:t>
      </w:r>
      <w:r w:rsidR="00286DB0" w:rsidRPr="00C406BC">
        <w:rPr>
          <w:rFonts w:ascii="Traditional Arabic" w:eastAsia="Calibri" w:hAnsi="Traditional Arabic" w:cs="Traditional Arabic"/>
          <w:sz w:val="40"/>
          <w:szCs w:val="40"/>
        </w:rPr>
        <w:t>.</w:t>
      </w:r>
    </w:p>
    <w:bookmarkEnd w:id="23"/>
    <w:p w14:paraId="329EA5BF" w14:textId="3DEDA5B0" w:rsidR="00286DB0" w:rsidRPr="00C406BC" w:rsidRDefault="008A2627" w:rsidP="008A2627">
      <w:pPr>
        <w:spacing w:after="240" w:line="360" w:lineRule="auto"/>
        <w:jc w:val="both"/>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t>2-</w:t>
      </w:r>
      <w:bookmarkStart w:id="24" w:name="_Hlk180670840"/>
      <w:r w:rsidR="00286DB0" w:rsidRPr="00C406BC">
        <w:rPr>
          <w:rFonts w:ascii="Traditional Arabic" w:eastAsia="Calibri" w:hAnsi="Traditional Arabic" w:cs="Traditional Arabic"/>
          <w:sz w:val="40"/>
          <w:szCs w:val="40"/>
          <w:rtl/>
        </w:rPr>
        <w:t>أخذ المنظم في النظام السعودي بقاعدة عدم سماع الدعوى</w:t>
      </w:r>
      <w:r>
        <w:rPr>
          <w:rFonts w:ascii="Traditional Arabic" w:eastAsia="Calibri" w:hAnsi="Traditional Arabic" w:cs="Traditional Arabic" w:hint="cs"/>
          <w:sz w:val="40"/>
          <w:szCs w:val="40"/>
          <w:rtl/>
        </w:rPr>
        <w:t xml:space="preserve">، </w:t>
      </w:r>
      <w:r w:rsidR="00286DB0" w:rsidRPr="00C406BC">
        <w:rPr>
          <w:rFonts w:ascii="Traditional Arabic" w:eastAsia="Calibri" w:hAnsi="Traditional Arabic" w:cs="Traditional Arabic"/>
          <w:sz w:val="40"/>
          <w:szCs w:val="40"/>
          <w:rtl/>
        </w:rPr>
        <w:t>التي هي تعتبر أقل صرامة من عبارة التقادم</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وكذلك عبارة السقوط</w:t>
      </w:r>
      <w:bookmarkEnd w:id="24"/>
      <w:r>
        <w:rPr>
          <w:rFonts w:ascii="Traditional Arabic" w:eastAsia="Calibri" w:hAnsi="Traditional Arabic" w:cs="Traditional Arabic" w:hint="cs"/>
          <w:sz w:val="40"/>
          <w:szCs w:val="40"/>
          <w:rtl/>
        </w:rPr>
        <w:t>، كما</w:t>
      </w:r>
      <w:r w:rsidR="00286DB0" w:rsidRPr="00C406BC">
        <w:rPr>
          <w:rFonts w:ascii="Traditional Arabic" w:eastAsia="Calibri" w:hAnsi="Traditional Arabic" w:cs="Traditional Arabic"/>
          <w:sz w:val="40"/>
          <w:szCs w:val="40"/>
          <w:rtl/>
        </w:rPr>
        <w:t xml:space="preserve"> يلاحظ أن القوانين التجارية</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والمدنية تقرر أن سقوط الحق بالتقادم إنما يتمسك به من قبل المدعى عليه، وبالتالي فاعتبار أن منع سماع الدعوى يتعلق بالنظام العام</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ويحكم به القاضي من تلقاء نفسه ينتج عنه أن تصبح قاعدة عدم سماع الدعوى أكثر صرامة مما تقضي به القوانين الوضعية على عكس ما عليه الشريعة الإسلامية التي لا تعرف انقضاء الحقوق بمرور الزمن</w:t>
      </w:r>
      <w:r w:rsidR="00286DB0" w:rsidRPr="00C406BC">
        <w:rPr>
          <w:rFonts w:ascii="Traditional Arabic" w:eastAsia="Calibri" w:hAnsi="Traditional Arabic" w:cs="Traditional Arabic"/>
          <w:sz w:val="40"/>
          <w:szCs w:val="40"/>
        </w:rPr>
        <w:t>.</w:t>
      </w:r>
    </w:p>
    <w:p w14:paraId="0B495699" w14:textId="1E0AD464" w:rsidR="00286DB0" w:rsidRPr="00C406BC" w:rsidRDefault="008A2627" w:rsidP="008A2627">
      <w:pPr>
        <w:spacing w:after="240" w:line="360" w:lineRule="auto"/>
        <w:jc w:val="both"/>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t>3-</w:t>
      </w:r>
      <w:r w:rsidR="00286DB0" w:rsidRPr="00C406BC">
        <w:rPr>
          <w:rFonts w:ascii="Traditional Arabic" w:eastAsia="Calibri" w:hAnsi="Traditional Arabic" w:cs="Traditional Arabic"/>
          <w:sz w:val="40"/>
          <w:szCs w:val="40"/>
          <w:rtl/>
        </w:rPr>
        <w:t>من المعلوم أن إقرار المدعى عليه بالدين يؤدي إلى انهيار عنصر الزمن بالنسبة لتقادم الحقوق، كما يهدم قرينة الوفاء</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ومن ثم تسمع الدعوى بالالتزام الصرفي</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غيره</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وهذا لا يصح متى قلنا </w:t>
      </w:r>
      <w:r>
        <w:rPr>
          <w:rFonts w:ascii="Traditional Arabic" w:eastAsia="Calibri" w:hAnsi="Traditional Arabic" w:cs="Traditional Arabic" w:hint="cs"/>
          <w:sz w:val="40"/>
          <w:szCs w:val="40"/>
          <w:rtl/>
        </w:rPr>
        <w:t>إ</w:t>
      </w:r>
      <w:r w:rsidR="00286DB0" w:rsidRPr="00C406BC">
        <w:rPr>
          <w:rFonts w:ascii="Traditional Arabic" w:eastAsia="Calibri" w:hAnsi="Traditional Arabic" w:cs="Traditional Arabic"/>
          <w:sz w:val="40"/>
          <w:szCs w:val="40"/>
          <w:rtl/>
        </w:rPr>
        <w:t>ن على القاضي أن يحكم من تلقاء نفسه بعدم سماع الدعوى، إذ كيف يمكن للمدين أن يثبت إقرار المدعى عليه؟</w:t>
      </w:r>
    </w:p>
    <w:p w14:paraId="178BE6A1" w14:textId="11FEA7D6" w:rsidR="00286DB0" w:rsidRPr="00C406BC" w:rsidRDefault="00286DB0" w:rsidP="00C406BC">
      <w:pPr>
        <w:spacing w:after="240" w:line="360" w:lineRule="auto"/>
        <w:ind w:firstLine="720"/>
        <w:jc w:val="both"/>
        <w:rPr>
          <w:rFonts w:ascii="Traditional Arabic" w:eastAsia="Calibri" w:hAnsi="Traditional Arabic" w:cs="Traditional Arabic"/>
          <w:sz w:val="40"/>
          <w:szCs w:val="40"/>
        </w:rPr>
      </w:pPr>
      <w:r w:rsidRPr="00C406BC">
        <w:rPr>
          <w:rFonts w:ascii="Traditional Arabic" w:eastAsia="Calibri" w:hAnsi="Traditional Arabic" w:cs="Traditional Arabic"/>
          <w:sz w:val="40"/>
          <w:szCs w:val="40"/>
          <w:rtl/>
        </w:rPr>
        <w:lastRenderedPageBreak/>
        <w:t>نصت المادة (84) من نظام تنظيم الأعمال الإدارية في الدوائر الشرعية الصادر برقم</w:t>
      </w:r>
      <w:r w:rsidR="00B109C7">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w:t>
      </w:r>
      <w:r w:rsidR="00B109C7">
        <w:rPr>
          <w:rFonts w:ascii="Traditional Arabic" w:eastAsia="Calibri" w:hAnsi="Traditional Arabic" w:cs="Traditional Arabic" w:hint="cs"/>
          <w:sz w:val="40"/>
          <w:szCs w:val="40"/>
          <w:rtl/>
        </w:rPr>
        <w:t>(</w:t>
      </w:r>
      <w:r w:rsidR="00B109C7" w:rsidRPr="00C406BC">
        <w:rPr>
          <w:rFonts w:ascii="Traditional Arabic" w:eastAsia="Calibri" w:hAnsi="Traditional Arabic" w:cs="Traditional Arabic"/>
          <w:sz w:val="40"/>
          <w:szCs w:val="40"/>
          <w:rtl/>
        </w:rPr>
        <w:t>109</w:t>
      </w:r>
      <w:r w:rsidR="00B109C7">
        <w:rPr>
          <w:rFonts w:ascii="Traditional Arabic" w:eastAsia="Calibri" w:hAnsi="Traditional Arabic" w:cs="Traditional Arabic" w:hint="cs"/>
          <w:sz w:val="40"/>
          <w:szCs w:val="40"/>
          <w:rtl/>
        </w:rPr>
        <w:t xml:space="preserve">)، </w:t>
      </w:r>
      <w:r w:rsidRPr="00C406BC">
        <w:rPr>
          <w:rFonts w:ascii="Traditional Arabic" w:eastAsia="Calibri" w:hAnsi="Traditional Arabic" w:cs="Traditional Arabic"/>
          <w:sz w:val="40"/>
          <w:szCs w:val="40"/>
          <w:rtl/>
        </w:rPr>
        <w:t>وتاريخ 1372/1/2هـ، التي قررت منع سماع الدعوى مطلقاً في المسائل المتعلقة بالعقار</w:t>
      </w:r>
      <w:r w:rsidR="00B109C7">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والرقيق إذا كان ذلك سابقاً لدخول الحكومة السعودية الحجاز، وكان سكوت صاحب الحق دون عذر شرعي، وهذا يعتبر لازماً لانطباق قاعدة عدم سماع الدعوى، والذي يجب على القاضي أن يتصدى قبل كل شيء للحكم فيما نصت عليه تلك المادة</w:t>
      </w:r>
      <w:r w:rsidRPr="00C406BC">
        <w:rPr>
          <w:rFonts w:ascii="Traditional Arabic" w:eastAsia="Calibri" w:hAnsi="Traditional Arabic" w:cs="Traditional Arabic"/>
          <w:sz w:val="40"/>
          <w:szCs w:val="40"/>
        </w:rPr>
        <w:t>.</w:t>
      </w:r>
      <w:r w:rsidRPr="00C406BC">
        <w:rPr>
          <w:rFonts w:ascii="Traditional Arabic" w:eastAsia="Calibri" w:hAnsi="Traditional Arabic" w:cs="Traditional Arabic"/>
          <w:sz w:val="40"/>
          <w:szCs w:val="40"/>
          <w:vertAlign w:val="superscript"/>
        </w:rPr>
        <w:footnoteReference w:id="22"/>
      </w:r>
    </w:p>
    <w:p w14:paraId="6D1B670F" w14:textId="2688812A" w:rsidR="00286DB0" w:rsidRPr="00C406BC" w:rsidRDefault="00B109C7" w:rsidP="00C406BC">
      <w:pPr>
        <w:spacing w:after="240" w:line="360" w:lineRule="auto"/>
        <w:ind w:firstLine="720"/>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t xml:space="preserve">يجدر بالذكر أنه </w:t>
      </w:r>
      <w:r w:rsidR="00286DB0" w:rsidRPr="00C406BC">
        <w:rPr>
          <w:rFonts w:ascii="Traditional Arabic" w:eastAsia="Calibri" w:hAnsi="Traditional Arabic" w:cs="Traditional Arabic"/>
          <w:sz w:val="40"/>
          <w:szCs w:val="40"/>
          <w:rtl/>
        </w:rPr>
        <w:t>كثيراً ما تثار إشكالات عدة</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وبصفة خاصة بالنسبة للأوراق </w:t>
      </w:r>
      <w:r w:rsidR="00050626" w:rsidRPr="00C406BC">
        <w:rPr>
          <w:rFonts w:ascii="Traditional Arabic" w:eastAsia="Calibri" w:hAnsi="Traditional Arabic" w:cs="Traditional Arabic" w:hint="cs"/>
          <w:sz w:val="40"/>
          <w:szCs w:val="40"/>
          <w:rtl/>
        </w:rPr>
        <w:t>التجارية حول</w:t>
      </w:r>
      <w:r w:rsidR="00286DB0" w:rsidRPr="00C406BC">
        <w:rPr>
          <w:rFonts w:ascii="Traditional Arabic" w:eastAsia="Calibri" w:hAnsi="Traditional Arabic" w:cs="Traditional Arabic"/>
          <w:sz w:val="40"/>
          <w:szCs w:val="40"/>
          <w:rtl/>
        </w:rPr>
        <w:t xml:space="preserve"> بدء سريان المدة اللازمة لعدم سماع الدعوى، مما يعني وقوع نزاع بين الخصوم في هذه الجزئية</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الأمر الذي يستلزم الفصل</w:t>
      </w:r>
      <w:r>
        <w:rPr>
          <w:rFonts w:ascii="Traditional Arabic" w:eastAsia="Calibri" w:hAnsi="Traditional Arabic" w:cs="Traditional Arabic" w:hint="cs"/>
          <w:sz w:val="40"/>
          <w:szCs w:val="40"/>
          <w:rtl/>
        </w:rPr>
        <w:t xml:space="preserve"> </w:t>
      </w:r>
      <w:r w:rsidR="00286DB0" w:rsidRPr="00C406BC">
        <w:rPr>
          <w:rFonts w:ascii="Traditional Arabic" w:eastAsia="Calibri" w:hAnsi="Traditional Arabic" w:cs="Traditional Arabic"/>
          <w:sz w:val="40"/>
          <w:szCs w:val="40"/>
          <w:rtl/>
        </w:rPr>
        <w:t>فيها</w:t>
      </w:r>
      <w:r>
        <w:rPr>
          <w:rFonts w:ascii="Traditional Arabic" w:eastAsia="Calibri" w:hAnsi="Traditional Arabic" w:cs="Traditional Arabic" w:hint="cs"/>
          <w:sz w:val="40"/>
          <w:szCs w:val="40"/>
          <w:rtl/>
        </w:rPr>
        <w:t xml:space="preserve"> ابتداء</w:t>
      </w:r>
      <w:r w:rsidR="00286DB0" w:rsidRPr="00C406BC">
        <w:rPr>
          <w:rFonts w:ascii="Traditional Arabic" w:eastAsia="Calibri" w:hAnsi="Traditional Arabic" w:cs="Traditional Arabic"/>
          <w:sz w:val="40"/>
          <w:szCs w:val="40"/>
          <w:rtl/>
        </w:rPr>
        <w:t>، وهذا على العكس فيما لو قيل إن على القاضي أن يحكم من تلقاء نفسه بعدم سماع الدعوى لعدم تمكن أحد الطرفين من إبداء وجهة نظره حول ما يدعيه الآخر، ولا شك أن هذا لم يكن قصد المنظم</w:t>
      </w:r>
      <w:r w:rsidR="00286DB0" w:rsidRPr="00C406BC">
        <w:rPr>
          <w:rFonts w:ascii="Traditional Arabic" w:eastAsia="Calibri" w:hAnsi="Traditional Arabic" w:cs="Traditional Arabic"/>
          <w:sz w:val="40"/>
          <w:szCs w:val="40"/>
        </w:rPr>
        <w:t>.</w:t>
      </w:r>
    </w:p>
    <w:p w14:paraId="4F4D899C" w14:textId="01CD5EB8" w:rsidR="00286DB0" w:rsidRPr="00C406BC" w:rsidRDefault="00B109C7" w:rsidP="00C406BC">
      <w:pPr>
        <w:spacing w:after="240" w:line="360" w:lineRule="auto"/>
        <w:ind w:firstLine="720"/>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lastRenderedPageBreak/>
        <w:t>ثم</w:t>
      </w:r>
      <w:r w:rsidR="00286DB0" w:rsidRPr="00C406BC">
        <w:rPr>
          <w:rFonts w:ascii="Traditional Arabic" w:eastAsia="Calibri" w:hAnsi="Traditional Arabic" w:cs="Traditional Arabic"/>
          <w:sz w:val="40"/>
          <w:szCs w:val="40"/>
          <w:rtl/>
        </w:rPr>
        <w:t xml:space="preserve"> </w:t>
      </w:r>
      <w:bookmarkStart w:id="25" w:name="_Hlk180670943"/>
      <w:r w:rsidR="00286DB0" w:rsidRPr="00C406BC">
        <w:rPr>
          <w:rFonts w:ascii="Traditional Arabic" w:eastAsia="Calibri" w:hAnsi="Traditional Arabic" w:cs="Traditional Arabic"/>
          <w:sz w:val="40"/>
          <w:szCs w:val="40"/>
          <w:rtl/>
        </w:rPr>
        <w:t>إن قرار مجلس الوزراء رقم</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(986)</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وتاريخ 1392/9/16 هـ، الذي قرر سقوط المطالبة تجاه الخزانة العامة بمضي سنتين فأكثر في الحقوق التي لم تستوف شرطي الدورية</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والتجدد، إنما كان إعمال حكمه رهيناً بتوافر شروط ثلاثة</w:t>
      </w:r>
      <w:r w:rsidR="00286DB0" w:rsidRPr="00C406BC">
        <w:rPr>
          <w:rFonts w:ascii="Traditional Arabic" w:eastAsia="Calibri" w:hAnsi="Traditional Arabic" w:cs="Traditional Arabic"/>
          <w:sz w:val="40"/>
          <w:szCs w:val="40"/>
        </w:rPr>
        <w:t>:</w:t>
      </w:r>
      <w:r w:rsidR="00286DB0" w:rsidRPr="00C406BC">
        <w:rPr>
          <w:rFonts w:ascii="Traditional Arabic" w:eastAsia="Calibri" w:hAnsi="Traditional Arabic" w:cs="Traditional Arabic"/>
          <w:sz w:val="40"/>
          <w:szCs w:val="40"/>
          <w:vertAlign w:val="superscript"/>
        </w:rPr>
        <w:footnoteReference w:id="23"/>
      </w:r>
    </w:p>
    <w:p w14:paraId="6CA4F385" w14:textId="2246AB41" w:rsidR="00286DB0" w:rsidRPr="00C406BC" w:rsidRDefault="00B109C7" w:rsidP="00B109C7">
      <w:pPr>
        <w:spacing w:after="240" w:line="360" w:lineRule="auto"/>
        <w:contextualSpacing/>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t>1-</w:t>
      </w:r>
      <w:r w:rsidR="00286DB0" w:rsidRPr="00C406BC">
        <w:rPr>
          <w:rFonts w:ascii="Traditional Arabic" w:eastAsia="Calibri" w:hAnsi="Traditional Arabic" w:cs="Traditional Arabic"/>
          <w:sz w:val="40"/>
          <w:szCs w:val="40"/>
          <w:rtl/>
        </w:rPr>
        <w:t>أن يكون ثمة حق بصفة راتب</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ما في حكمه قد نشأ</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وتكامل في ذمة الدولة</w:t>
      </w:r>
      <w:r w:rsidR="00286DB0" w:rsidRPr="00C406BC">
        <w:rPr>
          <w:rFonts w:ascii="Traditional Arabic" w:eastAsia="Calibri" w:hAnsi="Traditional Arabic" w:cs="Traditional Arabic"/>
          <w:sz w:val="40"/>
          <w:szCs w:val="40"/>
        </w:rPr>
        <w:t xml:space="preserve">. </w:t>
      </w:r>
    </w:p>
    <w:p w14:paraId="0F1F2AF5" w14:textId="7486D626" w:rsidR="00286DB0" w:rsidRPr="00C406BC" w:rsidRDefault="00B109C7" w:rsidP="00B109C7">
      <w:pPr>
        <w:spacing w:after="240" w:line="360" w:lineRule="auto"/>
        <w:contextualSpacing/>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t>2-</w:t>
      </w:r>
      <w:r w:rsidR="00286DB0" w:rsidRPr="00C406BC">
        <w:rPr>
          <w:rFonts w:ascii="Traditional Arabic" w:eastAsia="Calibri" w:hAnsi="Traditional Arabic" w:cs="Traditional Arabic"/>
          <w:sz w:val="40"/>
          <w:szCs w:val="40"/>
          <w:rtl/>
        </w:rPr>
        <w:t>أن تكون المطالبة بالحق أمراً سهلاً</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وميسوراً من جهة النظام</w:t>
      </w:r>
      <w:r w:rsidR="00286DB0" w:rsidRPr="00C406BC">
        <w:rPr>
          <w:rFonts w:ascii="Traditional Arabic" w:eastAsia="Calibri" w:hAnsi="Traditional Arabic" w:cs="Traditional Arabic"/>
          <w:sz w:val="40"/>
          <w:szCs w:val="40"/>
        </w:rPr>
        <w:t xml:space="preserve">. </w:t>
      </w:r>
    </w:p>
    <w:p w14:paraId="39BFB360" w14:textId="5FC4F0F4" w:rsidR="00286DB0" w:rsidRPr="00C406BC" w:rsidRDefault="00B109C7" w:rsidP="00B109C7">
      <w:pPr>
        <w:spacing w:after="240" w:line="360" w:lineRule="auto"/>
        <w:contextualSpacing/>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t>3-</w:t>
      </w:r>
      <w:r w:rsidR="00286DB0" w:rsidRPr="00C406BC">
        <w:rPr>
          <w:rFonts w:ascii="Traditional Arabic" w:eastAsia="Calibri" w:hAnsi="Traditional Arabic" w:cs="Traditional Arabic"/>
          <w:sz w:val="40"/>
          <w:szCs w:val="40"/>
          <w:rtl/>
        </w:rPr>
        <w:t>أن يتخلف صاحب الحق</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وكيله</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ورثته عن المطالبة بها مدة سريان التقادم دون أن يكون هناك سبب مشروع حال بينه</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وتلك المطالبة</w:t>
      </w:r>
      <w:r w:rsidR="00286DB0" w:rsidRPr="00C406BC">
        <w:rPr>
          <w:rFonts w:ascii="Traditional Arabic" w:eastAsia="Calibri" w:hAnsi="Traditional Arabic" w:cs="Traditional Arabic"/>
          <w:sz w:val="40"/>
          <w:szCs w:val="40"/>
        </w:rPr>
        <w:t>.</w:t>
      </w:r>
    </w:p>
    <w:bookmarkEnd w:id="25"/>
    <w:p w14:paraId="67BCD663" w14:textId="6A7814C1" w:rsidR="00286DB0" w:rsidRPr="00C406BC" w:rsidRDefault="00B109C7" w:rsidP="00B109C7">
      <w:pPr>
        <w:spacing w:after="240" w:line="360" w:lineRule="auto"/>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t xml:space="preserve">   إن </w:t>
      </w:r>
      <w:r w:rsidR="00286DB0" w:rsidRPr="00C406BC">
        <w:rPr>
          <w:rFonts w:ascii="Traditional Arabic" w:eastAsia="Calibri" w:hAnsi="Traditional Arabic" w:cs="Traditional Arabic"/>
          <w:sz w:val="40"/>
          <w:szCs w:val="40"/>
          <w:rtl/>
        </w:rPr>
        <w:t>مبدأ عدم سماع الدعوى لو كان متعلقاً بالنظام العام لما أناط المنظم جهة أخرى تقوم بالفصل في مثل تلك الدفوع الأولية، ومدى توفر العذر المسقط للتقادم من عدمه</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فقد جاء قرار مجلس الوزراء رقم</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(990)</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وتاريخ 1396/6/15 هـ بتخويل ديوان المظالم إقرار العذر المشروع في الحالات التي يتأخر أصحابها عن المطالبة بصرف حقوقهم لأكثر من سنتين</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ثلاث سنوات بحسب الأحوال، ومدى مشروعية العذر المدعى به من أصحاب الحقوق</w:t>
      </w:r>
      <w:r>
        <w:rPr>
          <w:rFonts w:ascii="Traditional Arabic" w:eastAsia="Calibri" w:hAnsi="Traditional Arabic" w:cs="Traditional Arabic" w:hint="cs"/>
          <w:sz w:val="40"/>
          <w:szCs w:val="40"/>
          <w:rtl/>
        </w:rPr>
        <w:t xml:space="preserve">، </w:t>
      </w:r>
      <w:r>
        <w:rPr>
          <w:rFonts w:ascii="Traditional Arabic" w:eastAsia="Calibri" w:hAnsi="Traditional Arabic" w:cs="Traditional Arabic" w:hint="cs"/>
          <w:sz w:val="40"/>
          <w:szCs w:val="40"/>
          <w:rtl/>
        </w:rPr>
        <w:lastRenderedPageBreak/>
        <w:t>و</w:t>
      </w:r>
      <w:r w:rsidR="00286DB0" w:rsidRPr="00C406BC">
        <w:rPr>
          <w:rFonts w:ascii="Traditional Arabic" w:eastAsia="Calibri" w:hAnsi="Traditional Arabic" w:cs="Traditional Arabic"/>
          <w:sz w:val="40"/>
          <w:szCs w:val="40"/>
          <w:rtl/>
        </w:rPr>
        <w:t>يضاف إلى ذلك أن مجلس الوزراء في قراره رقم</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(1112)</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وتاريخ 1388/9/7هـ قرر بعض الأعذار المسوغة لتأخر الموظف في المطالبة ببدل الانتداب مالم يكن لديه عذر شرعي ثبت لدى ديوان المظالم، وقيام القاضي</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المحكمة من تلقاء نفسه بالحكم بعدم سماع الدعوى يتنافى مع تلك المبادئ التي قررها النظام فيما تقدم</w:t>
      </w:r>
      <w:r w:rsidR="00286DB0" w:rsidRPr="00C406BC">
        <w:rPr>
          <w:rFonts w:ascii="Traditional Arabic" w:eastAsia="Calibri" w:hAnsi="Traditional Arabic" w:cs="Traditional Arabic"/>
          <w:sz w:val="40"/>
          <w:szCs w:val="40"/>
        </w:rPr>
        <w:t>.</w:t>
      </w:r>
      <w:r w:rsidR="00286DB0" w:rsidRPr="00C406BC">
        <w:rPr>
          <w:rFonts w:ascii="Traditional Arabic" w:eastAsia="Calibri" w:hAnsi="Traditional Arabic" w:cs="Traditional Arabic"/>
          <w:sz w:val="40"/>
          <w:szCs w:val="40"/>
          <w:vertAlign w:val="superscript"/>
        </w:rPr>
        <w:footnoteReference w:id="24"/>
      </w:r>
    </w:p>
    <w:p w14:paraId="527984A8" w14:textId="763EC3A4" w:rsidR="00286DB0" w:rsidRPr="00C406BC" w:rsidRDefault="00286DB0" w:rsidP="00C406BC">
      <w:pPr>
        <w:spacing w:after="240" w:line="360" w:lineRule="auto"/>
        <w:ind w:firstLine="720"/>
        <w:rPr>
          <w:rFonts w:ascii="Traditional Arabic" w:eastAsia="Calibri" w:hAnsi="Traditional Arabic" w:cs="Traditional Arabic"/>
          <w:sz w:val="40"/>
          <w:szCs w:val="40"/>
        </w:rPr>
      </w:pPr>
      <w:r w:rsidRPr="00C406BC">
        <w:rPr>
          <w:rFonts w:ascii="Traditional Arabic" w:eastAsia="Calibri" w:hAnsi="Traditional Arabic" w:cs="Traditional Arabic"/>
          <w:sz w:val="40"/>
          <w:szCs w:val="40"/>
          <w:rtl/>
        </w:rPr>
        <w:t>إن المذكرة التفسيرية لنظام الأوراق التجارية أخذت بمبدأ منع سماع الدعوى على اعتبار أنه حكم مستمد من الشريعة الإسلامية، ومن ثم فإن هذه القاعدة يجب أن تفهم كما يجب أن تفسر وفقاً للأحكام العامة للشريعة الغراء، وذلك يتفق مع معظم القوانين العربية التي اقتبست هذه القاعدة من الشريعة الإسلامية، ونصت في معظم قوانينها على أنه لا يجوز للمحكمة أن تقضي من تلقاء نفسها بعدم سماع الدعوى، بل مرجع ذلك إلى المدعى عليه</w:t>
      </w:r>
      <w:r w:rsidR="00B109C7">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فهو مخير في الدفع بذلك</w:t>
      </w:r>
      <w:r w:rsidRPr="00C406BC">
        <w:rPr>
          <w:rFonts w:ascii="Traditional Arabic" w:eastAsia="Calibri" w:hAnsi="Traditional Arabic" w:cs="Traditional Arabic"/>
          <w:sz w:val="40"/>
          <w:szCs w:val="40"/>
        </w:rPr>
        <w:t>.</w:t>
      </w:r>
      <w:r w:rsidRPr="00C406BC">
        <w:rPr>
          <w:rFonts w:ascii="Traditional Arabic" w:eastAsia="Calibri" w:hAnsi="Traditional Arabic" w:cs="Traditional Arabic"/>
          <w:sz w:val="40"/>
          <w:szCs w:val="40"/>
          <w:vertAlign w:val="superscript"/>
        </w:rPr>
        <w:footnoteReference w:id="25"/>
      </w:r>
    </w:p>
    <w:p w14:paraId="1AE30211" w14:textId="0E29F5CB" w:rsidR="00286DB0" w:rsidRPr="00C406BC" w:rsidRDefault="00286DB0" w:rsidP="00C406BC">
      <w:pPr>
        <w:spacing w:after="240" w:line="360" w:lineRule="auto"/>
        <w:ind w:firstLine="720"/>
        <w:rPr>
          <w:rFonts w:ascii="Traditional Arabic" w:eastAsia="Calibri" w:hAnsi="Traditional Arabic" w:cs="Traditional Arabic"/>
          <w:sz w:val="40"/>
          <w:szCs w:val="40"/>
        </w:rPr>
      </w:pPr>
      <w:r w:rsidRPr="00C406BC">
        <w:rPr>
          <w:rFonts w:ascii="Traditional Arabic" w:eastAsia="Calibri" w:hAnsi="Traditional Arabic" w:cs="Traditional Arabic"/>
          <w:sz w:val="40"/>
          <w:szCs w:val="40"/>
          <w:rtl/>
        </w:rPr>
        <w:lastRenderedPageBreak/>
        <w:t>إن اعتبار التقادم في الأوراق التجارية من النظام العام يرتكز على عدة أسس</w:t>
      </w:r>
      <w:r w:rsidR="00B109C7">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ومبررات</w:t>
      </w:r>
      <w:r w:rsidR="00B109C7">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منها ما يتعلق بطبيعة هذه الأوراق</w:t>
      </w:r>
      <w:r w:rsidR="00B109C7">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وأهمية ضمان استقرارها في التعاملات التجارية</w:t>
      </w:r>
      <w:r w:rsidR="007B57D8">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فالأوراق التجارية</w:t>
      </w:r>
      <w:r w:rsidR="007B57D8">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مثل الكمبيالات</w:t>
      </w:r>
      <w:r w:rsidR="007B57D8">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والسندات الإذنية</w:t>
      </w:r>
      <w:r w:rsidR="007B57D8">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والشيكات تُعَدُّ وسائل لتسوية الديون على وجه السرعة</w:t>
      </w:r>
      <w:r w:rsidR="007B57D8">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والثقة بها </w:t>
      </w:r>
      <w:r w:rsidR="007B57D8">
        <w:rPr>
          <w:rFonts w:ascii="Traditional Arabic" w:eastAsia="Calibri" w:hAnsi="Traditional Arabic" w:cs="Traditional Arabic" w:hint="cs"/>
          <w:sz w:val="40"/>
          <w:szCs w:val="40"/>
          <w:rtl/>
        </w:rPr>
        <w:t>ت</w:t>
      </w:r>
      <w:r w:rsidRPr="00C406BC">
        <w:rPr>
          <w:rFonts w:ascii="Traditional Arabic" w:eastAsia="Calibri" w:hAnsi="Traditional Arabic" w:cs="Traditional Arabic"/>
          <w:sz w:val="40"/>
          <w:szCs w:val="40"/>
          <w:rtl/>
        </w:rPr>
        <w:t>عتمد إلى حد كبير على قدرة حاملها على تحصيل قيمتها ضمن المدد المحددة</w:t>
      </w:r>
      <w:r w:rsidRPr="00C406BC">
        <w:rPr>
          <w:rFonts w:ascii="Traditional Arabic" w:eastAsia="Calibri" w:hAnsi="Traditional Arabic" w:cs="Traditional Arabic"/>
          <w:sz w:val="40"/>
          <w:szCs w:val="40"/>
        </w:rPr>
        <w:t>.</w:t>
      </w:r>
    </w:p>
    <w:p w14:paraId="11D30245" w14:textId="4FDB0FC6" w:rsidR="00286DB0" w:rsidRPr="00C406BC" w:rsidRDefault="00286DB0" w:rsidP="00C406BC">
      <w:pPr>
        <w:spacing w:after="240" w:line="360" w:lineRule="auto"/>
        <w:ind w:firstLine="720"/>
        <w:rPr>
          <w:rFonts w:ascii="Traditional Arabic" w:eastAsia="Calibri" w:hAnsi="Traditional Arabic" w:cs="Traditional Arabic"/>
          <w:sz w:val="40"/>
          <w:szCs w:val="40"/>
        </w:rPr>
      </w:pPr>
      <w:r w:rsidRPr="00C406BC">
        <w:rPr>
          <w:rFonts w:ascii="Traditional Arabic" w:eastAsia="Calibri" w:hAnsi="Traditional Arabic" w:cs="Traditional Arabic"/>
          <w:sz w:val="40"/>
          <w:szCs w:val="40"/>
          <w:rtl/>
        </w:rPr>
        <w:t>و</w:t>
      </w:r>
      <w:r w:rsidR="007B57D8">
        <w:rPr>
          <w:rFonts w:ascii="Traditional Arabic" w:eastAsia="Calibri" w:hAnsi="Traditional Arabic" w:cs="Traditional Arabic" w:hint="cs"/>
          <w:sz w:val="40"/>
          <w:szCs w:val="40"/>
          <w:rtl/>
        </w:rPr>
        <w:t>ي</w:t>
      </w:r>
      <w:r w:rsidRPr="00C406BC">
        <w:rPr>
          <w:rFonts w:ascii="Traditional Arabic" w:eastAsia="Calibri" w:hAnsi="Traditional Arabic" w:cs="Traditional Arabic"/>
          <w:sz w:val="40"/>
          <w:szCs w:val="40"/>
          <w:rtl/>
        </w:rPr>
        <w:t>حدد نظام الأوراق التجارية في المملكة العربية السعودية مدة تقادم قصيرة نسبيًا لضمان سرعة تحصيل الحقوق</w:t>
      </w:r>
      <w:r w:rsidR="007B57D8">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وتحقيق استقرار المعاملات</w:t>
      </w:r>
      <w:r w:rsidR="007B57D8">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w:t>
      </w:r>
      <w:r w:rsidR="007B57D8">
        <w:rPr>
          <w:rFonts w:ascii="Traditional Arabic" w:eastAsia="Calibri" w:hAnsi="Traditional Arabic" w:cs="Traditional Arabic" w:hint="cs"/>
          <w:sz w:val="40"/>
          <w:szCs w:val="40"/>
          <w:rtl/>
        </w:rPr>
        <w:t>ف</w:t>
      </w:r>
      <w:r w:rsidRPr="00C406BC">
        <w:rPr>
          <w:rFonts w:ascii="Traditional Arabic" w:eastAsia="Calibri" w:hAnsi="Traditional Arabic" w:cs="Traditional Arabic"/>
          <w:sz w:val="40"/>
          <w:szCs w:val="40"/>
          <w:rtl/>
        </w:rPr>
        <w:t>على سبيل المثال، تتقادم الدعاوى الناشئة عن الشيكات بعد مرور سنة من تاريخ انتهاء المدة المحددة لتقديم الشيك، وتلك الناشئة عن الكمبيالات</w:t>
      </w:r>
      <w:r w:rsidR="007B57D8">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والسندات الإذنية بعد ثلاث سنوات من تاريخ الاستحقاق</w:t>
      </w:r>
      <w:r w:rsidRPr="00C406BC">
        <w:rPr>
          <w:rFonts w:ascii="Traditional Arabic" w:eastAsia="Calibri" w:hAnsi="Traditional Arabic" w:cs="Traditional Arabic"/>
          <w:sz w:val="40"/>
          <w:szCs w:val="40"/>
        </w:rPr>
        <w:t>.</w:t>
      </w:r>
      <w:r w:rsidRPr="00C406BC">
        <w:rPr>
          <w:rFonts w:ascii="Traditional Arabic" w:eastAsia="Calibri" w:hAnsi="Traditional Arabic" w:cs="Traditional Arabic"/>
          <w:sz w:val="40"/>
          <w:szCs w:val="40"/>
          <w:vertAlign w:val="superscript"/>
        </w:rPr>
        <w:footnoteReference w:id="26"/>
      </w:r>
    </w:p>
    <w:p w14:paraId="670ADE77" w14:textId="3411672A" w:rsidR="00286DB0" w:rsidRPr="00C406BC" w:rsidRDefault="00286DB0" w:rsidP="00C406BC">
      <w:pPr>
        <w:spacing w:after="240" w:line="360" w:lineRule="auto"/>
        <w:ind w:firstLine="720"/>
        <w:rPr>
          <w:rFonts w:ascii="Traditional Arabic" w:eastAsia="Calibri" w:hAnsi="Traditional Arabic" w:cs="Traditional Arabic"/>
          <w:sz w:val="40"/>
          <w:szCs w:val="40"/>
          <w:rtl/>
        </w:rPr>
      </w:pPr>
      <w:r w:rsidRPr="00C406BC">
        <w:rPr>
          <w:rFonts w:ascii="Traditional Arabic" w:eastAsia="Calibri" w:hAnsi="Traditional Arabic" w:cs="Traditional Arabic"/>
          <w:sz w:val="40"/>
          <w:szCs w:val="40"/>
          <w:rtl/>
        </w:rPr>
        <w:t xml:space="preserve">ورغم أن القاعدة العامة هي أن القاضي لا يقضي بالتقادم من تلقاء نفسه، إلا أن في حالة الأوراق التجارية يتمسك المدين بالتقادم كدفع، وقد يتوجب عليه أن يثبت أن مدة التقادم قد انقضت دون أن يطالب الدائن بحقه، وفي الختام يمكن القول إن التقادم في النظام </w:t>
      </w:r>
      <w:r w:rsidRPr="00C406BC">
        <w:rPr>
          <w:rFonts w:ascii="Traditional Arabic" w:eastAsia="Calibri" w:hAnsi="Traditional Arabic" w:cs="Traditional Arabic"/>
          <w:sz w:val="40"/>
          <w:szCs w:val="40"/>
          <w:rtl/>
        </w:rPr>
        <w:lastRenderedPageBreak/>
        <w:t>السعودي، سواء فيما يخص الأوراق التجارية</w:t>
      </w:r>
      <w:r w:rsidR="007B57D8">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أو الحقوق الأخرى، يرتكز على مبدأ تحقيق التوازن بين حماية الحقوق الفردية</w:t>
      </w:r>
      <w:r w:rsidR="007B57D8">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واستقرار المعاملات التجارية</w:t>
      </w:r>
      <w:r w:rsidR="007B57D8">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والمصلحة العامة</w:t>
      </w:r>
      <w:r w:rsidRPr="00C406BC">
        <w:rPr>
          <w:rFonts w:ascii="Traditional Arabic" w:eastAsia="Calibri" w:hAnsi="Traditional Arabic" w:cs="Traditional Arabic"/>
          <w:sz w:val="40"/>
          <w:szCs w:val="40"/>
        </w:rPr>
        <w:t>.</w:t>
      </w:r>
    </w:p>
    <w:p w14:paraId="6F83FF64" w14:textId="77777777" w:rsidR="00C406BC" w:rsidRPr="00C406BC" w:rsidRDefault="00C406BC" w:rsidP="00C406BC">
      <w:pPr>
        <w:spacing w:after="240" w:line="360" w:lineRule="auto"/>
        <w:ind w:firstLine="720"/>
        <w:rPr>
          <w:rFonts w:ascii="Traditional Arabic" w:eastAsia="Calibri" w:hAnsi="Traditional Arabic" w:cs="Traditional Arabic"/>
          <w:sz w:val="40"/>
          <w:szCs w:val="40"/>
          <w:rtl/>
        </w:rPr>
      </w:pPr>
    </w:p>
    <w:p w14:paraId="35E996FD" w14:textId="77777777" w:rsidR="00C406BC" w:rsidRPr="00C406BC" w:rsidRDefault="00C406BC" w:rsidP="00C406BC">
      <w:pPr>
        <w:spacing w:after="240" w:line="360" w:lineRule="auto"/>
        <w:ind w:firstLine="720"/>
        <w:rPr>
          <w:rFonts w:ascii="Traditional Arabic" w:eastAsia="Calibri" w:hAnsi="Traditional Arabic" w:cs="Traditional Arabic"/>
          <w:sz w:val="40"/>
          <w:szCs w:val="40"/>
          <w:rtl/>
        </w:rPr>
      </w:pPr>
    </w:p>
    <w:p w14:paraId="5D5244E5" w14:textId="77777777" w:rsidR="00C406BC" w:rsidRPr="00C406BC" w:rsidRDefault="00C406BC" w:rsidP="00C406BC">
      <w:pPr>
        <w:spacing w:after="240" w:line="360" w:lineRule="auto"/>
        <w:ind w:firstLine="720"/>
        <w:rPr>
          <w:rFonts w:ascii="Traditional Arabic" w:eastAsia="Calibri" w:hAnsi="Traditional Arabic" w:cs="Traditional Arabic"/>
          <w:sz w:val="40"/>
          <w:szCs w:val="40"/>
        </w:rPr>
      </w:pPr>
    </w:p>
    <w:p w14:paraId="27056D6C" w14:textId="158459E4" w:rsidR="00286DB0" w:rsidRPr="00C406BC" w:rsidRDefault="00286DB0" w:rsidP="00C406BC">
      <w:pPr>
        <w:pStyle w:val="1"/>
        <w:spacing w:line="360" w:lineRule="auto"/>
        <w:jc w:val="center"/>
        <w:rPr>
          <w:rFonts w:ascii="Traditional Arabic" w:eastAsia="Calibri" w:hAnsi="Traditional Arabic" w:cs="Traditional Arabic"/>
          <w:b/>
          <w:bCs/>
          <w:color w:val="auto"/>
          <w:sz w:val="40"/>
          <w:szCs w:val="40"/>
        </w:rPr>
      </w:pPr>
      <w:bookmarkStart w:id="26" w:name="_Toc168891647"/>
      <w:r w:rsidRPr="00C406BC">
        <w:rPr>
          <w:rFonts w:ascii="Traditional Arabic" w:eastAsia="Calibri" w:hAnsi="Traditional Arabic" w:cs="Traditional Arabic"/>
          <w:b/>
          <w:bCs/>
          <w:color w:val="auto"/>
          <w:sz w:val="40"/>
          <w:szCs w:val="40"/>
        </w:rPr>
        <w:t>المطلب الثالث: ال</w:t>
      </w:r>
      <w:r w:rsidR="000F001F">
        <w:rPr>
          <w:rFonts w:ascii="Traditional Arabic" w:eastAsia="Calibri" w:hAnsi="Traditional Arabic" w:cs="Traditional Arabic" w:hint="cs"/>
          <w:b/>
          <w:bCs/>
          <w:color w:val="auto"/>
          <w:sz w:val="40"/>
          <w:szCs w:val="40"/>
        </w:rPr>
        <w:t>أ</w:t>
      </w:r>
      <w:r w:rsidRPr="00C406BC">
        <w:rPr>
          <w:rFonts w:ascii="Traditional Arabic" w:eastAsia="Calibri" w:hAnsi="Traditional Arabic" w:cs="Traditional Arabic"/>
          <w:b/>
          <w:bCs/>
          <w:color w:val="auto"/>
          <w:sz w:val="40"/>
          <w:szCs w:val="40"/>
        </w:rPr>
        <w:t>ساس الشرعي للتقادم</w:t>
      </w:r>
      <w:r w:rsidR="000F001F">
        <w:rPr>
          <w:rFonts w:ascii="Traditional Arabic" w:eastAsia="Calibri" w:hAnsi="Traditional Arabic" w:cs="Traditional Arabic" w:hint="cs"/>
          <w:b/>
          <w:bCs/>
          <w:color w:val="auto"/>
          <w:sz w:val="40"/>
          <w:szCs w:val="40"/>
        </w:rPr>
        <w:t>،</w:t>
      </w:r>
      <w:r w:rsidRPr="00C406BC">
        <w:rPr>
          <w:rFonts w:ascii="Traditional Arabic" w:eastAsia="Calibri" w:hAnsi="Traditional Arabic" w:cs="Traditional Arabic"/>
          <w:b/>
          <w:bCs/>
          <w:color w:val="auto"/>
          <w:sz w:val="40"/>
          <w:szCs w:val="40"/>
        </w:rPr>
        <w:t xml:space="preserve"> ومدته</w:t>
      </w:r>
      <w:bookmarkEnd w:id="26"/>
    </w:p>
    <w:p w14:paraId="16439B2F" w14:textId="77777777" w:rsidR="00286DB0" w:rsidRPr="00C81057" w:rsidRDefault="00286DB0" w:rsidP="00C406BC">
      <w:pPr>
        <w:spacing w:after="240" w:line="360" w:lineRule="auto"/>
        <w:jc w:val="both"/>
        <w:rPr>
          <w:rFonts w:ascii="Traditional Arabic" w:eastAsia="Calibri" w:hAnsi="Traditional Arabic" w:cs="Traditional Arabic"/>
          <w:sz w:val="40"/>
          <w:szCs w:val="40"/>
        </w:rPr>
      </w:pPr>
      <w:r w:rsidRPr="00C81057">
        <w:rPr>
          <w:rFonts w:ascii="Traditional Arabic" w:eastAsia="Calibri" w:hAnsi="Traditional Arabic" w:cs="Traditional Arabic"/>
          <w:sz w:val="40"/>
          <w:szCs w:val="40"/>
          <w:rtl/>
        </w:rPr>
        <w:t>الفرع الأول: الأساس الشرعي للتقادم في الشريعة الإسلامية</w:t>
      </w:r>
    </w:p>
    <w:p w14:paraId="3AA51079" w14:textId="1A57FE36" w:rsidR="00286DB0" w:rsidRPr="00C406BC" w:rsidRDefault="00286DB0" w:rsidP="00C406BC">
      <w:pPr>
        <w:spacing w:after="240" w:line="360" w:lineRule="auto"/>
        <w:ind w:firstLine="720"/>
        <w:rPr>
          <w:rFonts w:ascii="Traditional Arabic" w:eastAsia="Calibri" w:hAnsi="Traditional Arabic" w:cs="Traditional Arabic"/>
          <w:sz w:val="40"/>
          <w:szCs w:val="40"/>
          <w:rtl/>
        </w:rPr>
      </w:pPr>
      <w:r w:rsidRPr="00C406BC">
        <w:rPr>
          <w:rFonts w:ascii="Traditional Arabic" w:eastAsia="Calibri" w:hAnsi="Traditional Arabic" w:cs="Traditional Arabic"/>
          <w:sz w:val="40"/>
          <w:szCs w:val="40"/>
          <w:rtl/>
        </w:rPr>
        <w:t>يستند التقادم</w:t>
      </w:r>
      <w:r w:rsidR="00C81057">
        <w:rPr>
          <w:rFonts w:ascii="Traditional Arabic" w:eastAsia="Calibri" w:hAnsi="Traditional Arabic" w:cs="Traditional Arabic" w:hint="cs"/>
          <w:sz w:val="40"/>
          <w:szCs w:val="40"/>
          <w:rtl/>
        </w:rPr>
        <w:t xml:space="preserve"> </w:t>
      </w:r>
      <w:r w:rsidR="00C81057" w:rsidRPr="00C406BC">
        <w:rPr>
          <w:rFonts w:ascii="Traditional Arabic" w:eastAsia="Calibri" w:hAnsi="Traditional Arabic" w:cs="Traditional Arabic"/>
          <w:sz w:val="40"/>
          <w:szCs w:val="40"/>
          <w:rtl/>
        </w:rPr>
        <w:t>في النظام السعودي،</w:t>
      </w:r>
      <w:r w:rsidRPr="00C406BC">
        <w:rPr>
          <w:rFonts w:ascii="Traditional Arabic" w:eastAsia="Calibri" w:hAnsi="Traditional Arabic" w:cs="Traditional Arabic"/>
          <w:sz w:val="40"/>
          <w:szCs w:val="40"/>
          <w:rtl/>
        </w:rPr>
        <w:t xml:space="preserve"> إلى مبادئ الشريعة الإسلامية التي تركز على تحقيق العد</w:t>
      </w:r>
      <w:r w:rsidR="00C81057">
        <w:rPr>
          <w:rFonts w:ascii="Traditional Arabic" w:eastAsia="Calibri" w:hAnsi="Traditional Arabic" w:cs="Traditional Arabic" w:hint="cs"/>
          <w:sz w:val="40"/>
          <w:szCs w:val="40"/>
          <w:rtl/>
        </w:rPr>
        <w:t>ل،</w:t>
      </w:r>
      <w:r w:rsidRPr="00C406BC">
        <w:rPr>
          <w:rFonts w:ascii="Traditional Arabic" w:eastAsia="Calibri" w:hAnsi="Traditional Arabic" w:cs="Traditional Arabic"/>
          <w:sz w:val="40"/>
          <w:szCs w:val="40"/>
          <w:rtl/>
        </w:rPr>
        <w:t xml:space="preserve"> واستقرار المعاملات</w:t>
      </w:r>
      <w:r w:rsidR="00C81057">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w:t>
      </w:r>
      <w:r w:rsidR="00C81057">
        <w:rPr>
          <w:rFonts w:ascii="Traditional Arabic" w:eastAsia="Calibri" w:hAnsi="Traditional Arabic" w:cs="Traditional Arabic" w:hint="cs"/>
          <w:sz w:val="40"/>
          <w:szCs w:val="40"/>
          <w:rtl/>
        </w:rPr>
        <w:t>و</w:t>
      </w:r>
      <w:r w:rsidRPr="00C406BC">
        <w:rPr>
          <w:rFonts w:ascii="Traditional Arabic" w:eastAsia="Calibri" w:hAnsi="Traditional Arabic" w:cs="Traditional Arabic"/>
          <w:sz w:val="40"/>
          <w:szCs w:val="40"/>
          <w:rtl/>
        </w:rPr>
        <w:t>يتماشى نظام التقادم مع قواعد الشريعة التي تشدد على عدم تأجيل المطالبات الحقوقية لفترات طويلة، مما يمكن أن يسبب ظلمًا</w:t>
      </w:r>
      <w:r w:rsidR="00C81057">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أو يؤدي إلى فقدان الأدلة، والشريعة الإسلامية تدعم فكرة التقادم من خلال قواعدها التي تهدف إلى حماية الحقوق</w:t>
      </w:r>
      <w:r w:rsidR="00C81057">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ومنع الإضرار بالآخرين بسبب التأخير غير المبرر في المطالبة بالحقوق</w:t>
      </w:r>
      <w:r w:rsidR="00C81057">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إذ أن من </w:t>
      </w:r>
      <w:r w:rsidRPr="00C406BC">
        <w:rPr>
          <w:rFonts w:ascii="Traditional Arabic" w:eastAsia="Calibri" w:hAnsi="Traditional Arabic" w:cs="Traditional Arabic"/>
          <w:sz w:val="40"/>
          <w:szCs w:val="40"/>
          <w:rtl/>
        </w:rPr>
        <w:lastRenderedPageBreak/>
        <w:t xml:space="preserve">المبادئ الفقهية المعروفة في الشريعة الإسلامية قاعدة </w:t>
      </w:r>
      <w:r w:rsidR="00C81057">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لا ضرر ولا ضرار</w:t>
      </w:r>
      <w:r w:rsidR="00C81057">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التي تؤيد وضع حدود زمنية للمطالبة بالحقوق لمنع الإضرار بالمدينين وضمان استقرار المعاملات</w:t>
      </w:r>
      <w:r w:rsidRPr="00C406BC">
        <w:rPr>
          <w:rFonts w:ascii="Traditional Arabic" w:eastAsia="MS Gothic" w:hAnsi="Traditional Arabic" w:cs="Traditional Arabic"/>
          <w:sz w:val="40"/>
          <w:szCs w:val="40"/>
          <w:rtl/>
        </w:rPr>
        <w:t>.</w:t>
      </w:r>
      <w:r w:rsidRPr="00C406BC">
        <w:rPr>
          <w:rFonts w:ascii="Times New Roman" w:eastAsia="Calibri" w:hAnsi="Times New Roman" w:cs="Times New Roman"/>
          <w:sz w:val="40"/>
          <w:szCs w:val="40"/>
        </w:rPr>
        <w:t>​​</w:t>
      </w:r>
      <w:r w:rsidRPr="00C406BC">
        <w:rPr>
          <w:rFonts w:ascii="Traditional Arabic" w:eastAsia="Calibri" w:hAnsi="Traditional Arabic" w:cs="Traditional Arabic"/>
          <w:sz w:val="40"/>
          <w:szCs w:val="40"/>
          <w:vertAlign w:val="superscript"/>
        </w:rPr>
        <w:t xml:space="preserve"> </w:t>
      </w:r>
      <w:r w:rsidRPr="00C406BC">
        <w:rPr>
          <w:rFonts w:ascii="Traditional Arabic" w:eastAsia="Calibri" w:hAnsi="Traditional Arabic" w:cs="Traditional Arabic"/>
          <w:sz w:val="40"/>
          <w:szCs w:val="40"/>
          <w:vertAlign w:val="superscript"/>
        </w:rPr>
        <w:footnoteReference w:id="27"/>
      </w:r>
    </w:p>
    <w:p w14:paraId="665A6B51" w14:textId="16B5B4B6" w:rsidR="00286DB0" w:rsidRPr="00C406BC" w:rsidRDefault="00E062DC" w:rsidP="00E062DC">
      <w:pPr>
        <w:spacing w:after="240" w:line="360" w:lineRule="auto"/>
        <w:ind w:firstLine="720"/>
        <w:jc w:val="both"/>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t>غير أن هناك رأيا آخر في الفقه مفاده أن</w:t>
      </w:r>
      <w:r w:rsidR="00286DB0" w:rsidRPr="00C406BC">
        <w:rPr>
          <w:rFonts w:ascii="Traditional Arabic" w:eastAsia="Calibri" w:hAnsi="Traditional Arabic" w:cs="Traditional Arabic"/>
          <w:sz w:val="40"/>
          <w:szCs w:val="40"/>
          <w:rtl/>
        </w:rPr>
        <w:t xml:space="preserve"> الشريعة الإسلامية</w:t>
      </w:r>
      <w:r>
        <w:rPr>
          <w:rFonts w:ascii="Traditional Arabic" w:eastAsia="Calibri" w:hAnsi="Traditional Arabic" w:cs="Traditional Arabic" w:hint="cs"/>
          <w:sz w:val="40"/>
          <w:szCs w:val="40"/>
          <w:rtl/>
        </w:rPr>
        <w:t xml:space="preserve"> لا تقر</w:t>
      </w:r>
      <w:r w:rsidR="00286DB0" w:rsidRPr="00C406BC">
        <w:rPr>
          <w:rFonts w:ascii="Traditional Arabic" w:eastAsia="Calibri" w:hAnsi="Traditional Arabic" w:cs="Traditional Arabic"/>
          <w:sz w:val="40"/>
          <w:szCs w:val="40"/>
          <w:rtl/>
        </w:rPr>
        <w:t xml:space="preserve"> التقادم، سواءً كان ذلك التقادم المكسب أو التقادم المسقط</w:t>
      </w:r>
      <w:r>
        <w:rPr>
          <w:rFonts w:ascii="Traditional Arabic" w:eastAsia="Calibri" w:hAnsi="Traditional Arabic" w:cs="Traditional Arabic" w:hint="cs"/>
          <w:sz w:val="40"/>
          <w:szCs w:val="40"/>
          <w:rtl/>
        </w:rPr>
        <w:t>، ويستند هذا الرأي</w:t>
      </w:r>
      <w:r w:rsidR="00286DB0" w:rsidRPr="00C406BC">
        <w:rPr>
          <w:rFonts w:ascii="Traditional Arabic" w:eastAsia="Calibri" w:hAnsi="Traditional Arabic" w:cs="Traditional Arabic"/>
          <w:sz w:val="40"/>
          <w:szCs w:val="40"/>
          <w:rtl/>
        </w:rPr>
        <w:t xml:space="preserve"> على قول</w:t>
      </w:r>
      <w:r>
        <w:rPr>
          <w:rFonts w:ascii="Traditional Arabic" w:eastAsia="Calibri" w:hAnsi="Traditional Arabic" w:cs="Traditional Arabic" w:hint="cs"/>
          <w:sz w:val="40"/>
          <w:szCs w:val="40"/>
          <w:rtl/>
        </w:rPr>
        <w:t xml:space="preserve"> النبي</w:t>
      </w:r>
      <w:r w:rsidR="00286DB0" w:rsidRPr="00C406BC">
        <w:rPr>
          <w:rFonts w:ascii="Traditional Arabic" w:eastAsia="Calibri" w:hAnsi="Traditional Arabic" w:cs="Traditional Arabic"/>
          <w:sz w:val="40"/>
          <w:szCs w:val="40"/>
          <w:rtl/>
        </w:rPr>
        <w:t xml:space="preserve"> صلى الله عليه وسلم: (لا يبطل حق أمريء مسلم</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وإن قدم)، وهذا الحديث متفق عليه عند كثير من فقهاء المذهب المالكي</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وعلى الرغم من الأهمية البالغة لهذا الحديث عند المالكية باعتباره الأساس الذي بنوا عليه رأيهم في التقادم، إلا أنهم يحاولون من حين لآخر التوفيق بينه</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وبين الأحاديث الأخرى، وبصفة خاصة الحديث النبوي الشريف الذي يقرر الحيازة كما جاء في بعض رواياته: (من حاز شيئاً عشر سنين فهو له)</w:t>
      </w:r>
      <w:r>
        <w:rPr>
          <w:rFonts w:ascii="Traditional Arabic" w:eastAsia="Calibri" w:hAnsi="Traditional Arabic" w:cs="Traditional Arabic"/>
          <w:sz w:val="40"/>
          <w:szCs w:val="40"/>
        </w:rPr>
        <w:t xml:space="preserve">  </w:t>
      </w:r>
      <w:r w:rsidR="00286DB0" w:rsidRPr="00C406BC">
        <w:rPr>
          <w:rFonts w:ascii="Traditional Arabic" w:eastAsia="Calibri" w:hAnsi="Traditional Arabic" w:cs="Traditional Arabic"/>
          <w:sz w:val="40"/>
          <w:szCs w:val="40"/>
          <w:vertAlign w:val="superscript"/>
        </w:rPr>
        <w:footnoteReference w:id="28"/>
      </w:r>
      <w:r w:rsidR="00286DB0" w:rsidRPr="00C406BC">
        <w:rPr>
          <w:rFonts w:ascii="Traditional Arabic" w:eastAsia="Calibri" w:hAnsi="Traditional Arabic" w:cs="Traditional Arabic"/>
          <w:sz w:val="40"/>
          <w:szCs w:val="40"/>
          <w:rtl/>
        </w:rPr>
        <w:t>ف</w:t>
      </w:r>
      <w:r>
        <w:rPr>
          <w:rFonts w:ascii="Traditional Arabic" w:eastAsia="Calibri" w:hAnsi="Traditional Arabic" w:cs="Traditional Arabic" w:hint="cs"/>
          <w:sz w:val="40"/>
          <w:szCs w:val="40"/>
          <w:rtl/>
        </w:rPr>
        <w:t>ف</w:t>
      </w:r>
      <w:r w:rsidR="00286DB0" w:rsidRPr="00C406BC">
        <w:rPr>
          <w:rFonts w:ascii="Traditional Arabic" w:eastAsia="Calibri" w:hAnsi="Traditional Arabic" w:cs="Traditional Arabic"/>
          <w:sz w:val="40"/>
          <w:szCs w:val="40"/>
          <w:rtl/>
        </w:rPr>
        <w:t xml:space="preserve">قهاء المالكية </w:t>
      </w:r>
      <w:r>
        <w:rPr>
          <w:rFonts w:ascii="Traditional Arabic" w:eastAsia="Calibri" w:hAnsi="Traditional Arabic" w:cs="Traditional Arabic" w:hint="cs"/>
          <w:sz w:val="40"/>
          <w:szCs w:val="40"/>
          <w:rtl/>
        </w:rPr>
        <w:t xml:space="preserve">يأخذون </w:t>
      </w:r>
      <w:r w:rsidR="00286DB0" w:rsidRPr="00C406BC">
        <w:rPr>
          <w:rFonts w:ascii="Traditional Arabic" w:eastAsia="Calibri" w:hAnsi="Traditional Arabic" w:cs="Traditional Arabic"/>
          <w:sz w:val="40"/>
          <w:szCs w:val="40"/>
          <w:rtl/>
        </w:rPr>
        <w:t>هذا الحديث في الحيازة على إطلاقه، كما يستندون إليه في القول بسقوط الحق بالتقادم</w:t>
      </w:r>
      <w:r>
        <w:rPr>
          <w:rFonts w:ascii="Traditional Arabic" w:eastAsia="Calibri" w:hAnsi="Traditional Arabic" w:cs="Traditional Arabic" w:hint="cs"/>
          <w:sz w:val="40"/>
          <w:szCs w:val="40"/>
          <w:rtl/>
        </w:rPr>
        <w:t xml:space="preserve">، </w:t>
      </w:r>
      <w:r w:rsidR="00286DB0" w:rsidRPr="00C406BC">
        <w:rPr>
          <w:rFonts w:ascii="Traditional Arabic" w:eastAsia="Calibri" w:hAnsi="Traditional Arabic" w:cs="Traditional Arabic"/>
          <w:sz w:val="40"/>
          <w:szCs w:val="40"/>
          <w:rtl/>
        </w:rPr>
        <w:t xml:space="preserve"> ويرى الحنابلة أن هذا الحديث غير ثابت</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وينقلونه عن علماء المدينة، والذي عليه العمل عند المالكية، والرأي الراجح، أنهم يعتبرون الحيازة دليلاً </w:t>
      </w:r>
      <w:r w:rsidR="00286DB0" w:rsidRPr="00C406BC">
        <w:rPr>
          <w:rFonts w:ascii="Traditional Arabic" w:eastAsia="Calibri" w:hAnsi="Traditional Arabic" w:cs="Traditional Arabic"/>
          <w:sz w:val="40"/>
          <w:szCs w:val="40"/>
          <w:rtl/>
        </w:rPr>
        <w:lastRenderedPageBreak/>
        <w:t>على الملكية فقط، بينما يرى الإمام مالك سقوط الملكية بالحيازة، وهو رأي مرجوح في مذهب المالكية</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أما سقوط الدين عند فقهاء المالكية، فإن بعضهم يرى سقوط الدين بالتقادم على أساس قيام قرينة الوفاء، غير أن الإمام مالك لم يتعرض لسقوط الدين</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وإنما قرر سقوط الملك بالحيازة، ويرى البعض الآخر من فقهاء المالكية سقوط طلب الدين بمضي المدة</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لا الدين نفسه، كما يوجب الإمام مالك على المدين أن يحلف يميناً بأنه</w:t>
      </w:r>
      <w:r>
        <w:rPr>
          <w:rFonts w:ascii="Traditional Arabic" w:eastAsia="Calibri" w:hAnsi="Traditional Arabic" w:cs="Traditional Arabic" w:hint="cs"/>
          <w:sz w:val="40"/>
          <w:szCs w:val="40"/>
          <w:rtl/>
        </w:rPr>
        <w:t xml:space="preserve"> أوفى</w:t>
      </w:r>
      <w:r w:rsidR="00286DB0" w:rsidRPr="00C406BC">
        <w:rPr>
          <w:rFonts w:ascii="Traditional Arabic" w:eastAsia="Calibri" w:hAnsi="Traditional Arabic" w:cs="Traditional Arabic"/>
          <w:sz w:val="40"/>
          <w:szCs w:val="40"/>
          <w:rtl/>
        </w:rPr>
        <w:t xml:space="preserve"> دينه لدائنه</w:t>
      </w:r>
      <w:r w:rsidR="00286DB0" w:rsidRPr="00C406BC">
        <w:rPr>
          <w:rFonts w:ascii="Traditional Arabic" w:eastAsia="Calibri" w:hAnsi="Traditional Arabic" w:cs="Traditional Arabic"/>
          <w:sz w:val="40"/>
          <w:szCs w:val="40"/>
        </w:rPr>
        <w:t>.</w:t>
      </w:r>
      <w:r w:rsidR="00286DB0" w:rsidRPr="00C406BC">
        <w:rPr>
          <w:rFonts w:ascii="Traditional Arabic" w:eastAsia="Calibri" w:hAnsi="Traditional Arabic" w:cs="Traditional Arabic"/>
          <w:sz w:val="40"/>
          <w:szCs w:val="40"/>
          <w:vertAlign w:val="superscript"/>
        </w:rPr>
        <w:footnoteReference w:id="29"/>
      </w:r>
    </w:p>
    <w:p w14:paraId="35D3DF43" w14:textId="31D0D880" w:rsidR="00286DB0" w:rsidRPr="00C406BC" w:rsidRDefault="00286DB0" w:rsidP="00C406BC">
      <w:pPr>
        <w:spacing w:after="240" w:line="360" w:lineRule="auto"/>
        <w:ind w:firstLine="720"/>
        <w:jc w:val="both"/>
        <w:rPr>
          <w:rFonts w:ascii="Traditional Arabic" w:eastAsia="Calibri" w:hAnsi="Traditional Arabic" w:cs="Traditional Arabic"/>
          <w:sz w:val="40"/>
          <w:szCs w:val="40"/>
        </w:rPr>
      </w:pPr>
      <w:r w:rsidRPr="00C406BC">
        <w:rPr>
          <w:rFonts w:ascii="Traditional Arabic" w:eastAsia="Calibri" w:hAnsi="Traditional Arabic" w:cs="Traditional Arabic"/>
          <w:sz w:val="40"/>
          <w:szCs w:val="40"/>
          <w:rtl/>
        </w:rPr>
        <w:t>ويرى فقهاء المذهب الحنبلي ما هو راجح في فقه المذهب المالكي في اعتبار الحيازة</w:t>
      </w:r>
      <w:r w:rsidR="00E062DC">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أو اليد دليلاً على الملك فقط، كما يرون وجوب اليمين على الم</w:t>
      </w:r>
      <w:r w:rsidR="00E062DC">
        <w:rPr>
          <w:rFonts w:ascii="Traditional Arabic" w:eastAsia="Calibri" w:hAnsi="Traditional Arabic" w:cs="Traditional Arabic" w:hint="cs"/>
          <w:sz w:val="40"/>
          <w:szCs w:val="40"/>
          <w:rtl/>
        </w:rPr>
        <w:t>ن</w:t>
      </w:r>
      <w:r w:rsidRPr="00C406BC">
        <w:rPr>
          <w:rFonts w:ascii="Traditional Arabic" w:eastAsia="Calibri" w:hAnsi="Traditional Arabic" w:cs="Traditional Arabic"/>
          <w:sz w:val="40"/>
          <w:szCs w:val="40"/>
          <w:rtl/>
        </w:rPr>
        <w:t>كر، وعدم سماع الدعوى على اعتبار حصول قرينة الوفاء</w:t>
      </w:r>
      <w:r w:rsidRPr="00C406BC">
        <w:rPr>
          <w:rFonts w:ascii="Traditional Arabic" w:eastAsia="Calibri" w:hAnsi="Traditional Arabic" w:cs="Traditional Arabic"/>
          <w:sz w:val="40"/>
          <w:szCs w:val="40"/>
        </w:rPr>
        <w:t>.</w:t>
      </w:r>
    </w:p>
    <w:p w14:paraId="1C28E934" w14:textId="03D0A4B7" w:rsidR="00286DB0" w:rsidRPr="00C406BC" w:rsidRDefault="00286DB0" w:rsidP="00C406BC">
      <w:pPr>
        <w:spacing w:after="240" w:line="360" w:lineRule="auto"/>
        <w:ind w:firstLine="720"/>
        <w:jc w:val="both"/>
        <w:rPr>
          <w:rFonts w:ascii="Traditional Arabic" w:eastAsia="Calibri" w:hAnsi="Traditional Arabic" w:cs="Traditional Arabic"/>
          <w:sz w:val="40"/>
          <w:szCs w:val="40"/>
        </w:rPr>
      </w:pPr>
      <w:r w:rsidRPr="00C406BC">
        <w:rPr>
          <w:rFonts w:ascii="Traditional Arabic" w:eastAsia="Calibri" w:hAnsi="Traditional Arabic" w:cs="Traditional Arabic"/>
          <w:sz w:val="40"/>
          <w:szCs w:val="40"/>
          <w:rtl/>
        </w:rPr>
        <w:t>أما في الفقه الحنفي، فالقاعدة العامة عندهم أنه لا يسقط الحق بتقادم الزمان، وذلك إعمالاً للحديث: (لا يبطل حق أمريء مسلم وإن قدم)</w:t>
      </w:r>
      <w:r w:rsidR="00C66889">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كما يقررون أن منع القاضي من سماع الدعوى لا يسقط حق المدعي، وللسلطان</w:t>
      </w:r>
      <w:r w:rsidR="00C66889">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أو من عليه أن يسمعها بنفسه</w:t>
      </w:r>
      <w:r w:rsidRPr="00C406BC">
        <w:rPr>
          <w:rFonts w:ascii="Traditional Arabic" w:eastAsia="Calibri" w:hAnsi="Traditional Arabic" w:cs="Traditional Arabic"/>
          <w:sz w:val="40"/>
          <w:szCs w:val="40"/>
        </w:rPr>
        <w:t>.</w:t>
      </w:r>
    </w:p>
    <w:p w14:paraId="68873DE4" w14:textId="753E6023" w:rsidR="00286DB0" w:rsidRPr="00C406BC" w:rsidRDefault="00286DB0" w:rsidP="00C406BC">
      <w:pPr>
        <w:spacing w:after="240" w:line="360" w:lineRule="auto"/>
        <w:ind w:firstLine="720"/>
        <w:jc w:val="both"/>
        <w:rPr>
          <w:rFonts w:ascii="Traditional Arabic" w:eastAsia="Calibri" w:hAnsi="Traditional Arabic" w:cs="Traditional Arabic"/>
          <w:sz w:val="40"/>
          <w:szCs w:val="40"/>
        </w:rPr>
      </w:pPr>
      <w:r w:rsidRPr="00C406BC">
        <w:rPr>
          <w:rFonts w:ascii="Traditional Arabic" w:eastAsia="Calibri" w:hAnsi="Traditional Arabic" w:cs="Traditional Arabic"/>
          <w:sz w:val="40"/>
          <w:szCs w:val="40"/>
          <w:rtl/>
        </w:rPr>
        <w:lastRenderedPageBreak/>
        <w:t>و</w:t>
      </w:r>
      <w:r w:rsidR="005C2702">
        <w:rPr>
          <w:rFonts w:ascii="Traditional Arabic" w:eastAsia="Calibri" w:hAnsi="Traditional Arabic" w:cs="Traditional Arabic" w:hint="cs"/>
          <w:sz w:val="40"/>
          <w:szCs w:val="40"/>
          <w:rtl/>
        </w:rPr>
        <w:t xml:space="preserve">لا شك </w:t>
      </w:r>
      <w:r w:rsidR="00BA4DF8">
        <w:rPr>
          <w:rFonts w:ascii="Traditional Arabic" w:eastAsia="Calibri" w:hAnsi="Traditional Arabic" w:cs="Traditional Arabic" w:hint="cs"/>
          <w:sz w:val="40"/>
          <w:szCs w:val="40"/>
          <w:rtl/>
        </w:rPr>
        <w:t xml:space="preserve">أن </w:t>
      </w:r>
      <w:r w:rsidR="00BA4DF8" w:rsidRPr="00C406BC">
        <w:rPr>
          <w:rFonts w:ascii="Traditional Arabic" w:eastAsia="Calibri" w:hAnsi="Traditional Arabic" w:cs="Traditional Arabic" w:hint="cs"/>
          <w:sz w:val="40"/>
          <w:szCs w:val="40"/>
          <w:rtl/>
        </w:rPr>
        <w:t>فقهاء</w:t>
      </w:r>
      <w:r w:rsidRPr="00C406BC">
        <w:rPr>
          <w:rFonts w:ascii="Traditional Arabic" w:eastAsia="Calibri" w:hAnsi="Traditional Arabic" w:cs="Traditional Arabic"/>
          <w:sz w:val="40"/>
          <w:szCs w:val="40"/>
          <w:rtl/>
        </w:rPr>
        <w:t xml:space="preserve"> المسلمين</w:t>
      </w:r>
      <w:r w:rsidR="005C2702">
        <w:rPr>
          <w:rFonts w:ascii="Traditional Arabic" w:eastAsia="Calibri" w:hAnsi="Traditional Arabic" w:cs="Traditional Arabic" w:hint="cs"/>
          <w:sz w:val="40"/>
          <w:szCs w:val="40"/>
          <w:rtl/>
        </w:rPr>
        <w:t xml:space="preserve"> ممن يقولون ب</w:t>
      </w:r>
      <w:r w:rsidRPr="00C406BC">
        <w:rPr>
          <w:rFonts w:ascii="Traditional Arabic" w:eastAsia="Calibri" w:hAnsi="Traditional Arabic" w:cs="Traditional Arabic"/>
          <w:sz w:val="40"/>
          <w:szCs w:val="40"/>
          <w:rtl/>
        </w:rPr>
        <w:t xml:space="preserve">سقوط الدين </w:t>
      </w:r>
      <w:r w:rsidR="000F68BD" w:rsidRPr="00C406BC">
        <w:rPr>
          <w:rFonts w:ascii="Traditional Arabic" w:eastAsia="Calibri" w:hAnsi="Traditional Arabic" w:cs="Traditional Arabic" w:hint="cs"/>
          <w:sz w:val="40"/>
          <w:szCs w:val="40"/>
          <w:rtl/>
        </w:rPr>
        <w:t xml:space="preserve">بالتقادم </w:t>
      </w:r>
      <w:r w:rsidR="000F68BD">
        <w:rPr>
          <w:rFonts w:ascii="Traditional Arabic" w:eastAsia="Calibri" w:hAnsi="Traditional Arabic" w:cs="Traditional Arabic" w:hint="cs"/>
          <w:sz w:val="40"/>
          <w:szCs w:val="40"/>
          <w:rtl/>
        </w:rPr>
        <w:t>يقررون</w:t>
      </w:r>
      <w:r w:rsidR="005C2702">
        <w:rPr>
          <w:rFonts w:ascii="Traditional Arabic" w:eastAsia="Calibri" w:hAnsi="Traditional Arabic" w:cs="Traditional Arabic" w:hint="cs"/>
          <w:sz w:val="40"/>
          <w:szCs w:val="40"/>
          <w:rtl/>
        </w:rPr>
        <w:t xml:space="preserve"> أنه يترتب على قولهم</w:t>
      </w:r>
      <w:r w:rsidRPr="00C406BC">
        <w:rPr>
          <w:rFonts w:ascii="Traditional Arabic" w:eastAsia="Calibri" w:hAnsi="Traditional Arabic" w:cs="Traditional Arabic"/>
          <w:sz w:val="40"/>
          <w:szCs w:val="40"/>
          <w:rtl/>
        </w:rPr>
        <w:t xml:space="preserve"> واجب ديني</w:t>
      </w:r>
      <w:r w:rsidR="005C2702">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لأن الحق قديم لا تزيله الشكوك</w:t>
      </w:r>
      <w:r w:rsidR="005C2702">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ولا الشبهات</w:t>
      </w:r>
      <w:r w:rsidR="005C2702">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كما أن الحيازة</w:t>
      </w:r>
      <w:r w:rsidR="005C2702">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أو التقادم يجب </w:t>
      </w:r>
      <w:r w:rsidR="000F001F" w:rsidRPr="00C406BC">
        <w:rPr>
          <w:rFonts w:ascii="Traditional Arabic" w:eastAsia="Calibri" w:hAnsi="Traditional Arabic" w:cs="Traditional Arabic" w:hint="cs"/>
          <w:sz w:val="40"/>
          <w:szCs w:val="40"/>
          <w:rtl/>
        </w:rPr>
        <w:t>ألا</w:t>
      </w:r>
      <w:r w:rsidRPr="00C406BC">
        <w:rPr>
          <w:rFonts w:ascii="Traditional Arabic" w:eastAsia="Calibri" w:hAnsi="Traditional Arabic" w:cs="Traditional Arabic"/>
          <w:sz w:val="40"/>
          <w:szCs w:val="40"/>
          <w:rtl/>
        </w:rPr>
        <w:t xml:space="preserve"> تؤثر في الحقوق</w:t>
      </w:r>
      <w:r w:rsidR="005C2702">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ولا تؤدي إلى سقوطها عن أصحابها طالما كان هناك مدخلاً لشبهة</w:t>
      </w:r>
      <w:r w:rsidR="005C2702">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أو شك في الملكية</w:t>
      </w:r>
      <w:r w:rsidR="005C2702">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أو عدمها، ولهذا تصبح الحيازة في الحكم، وأما عند الله فلا يبطل الحق بتقادمه</w:t>
      </w:r>
      <w:r w:rsidRPr="00C406BC">
        <w:rPr>
          <w:rFonts w:ascii="Traditional Arabic" w:eastAsia="Calibri" w:hAnsi="Traditional Arabic" w:cs="Traditional Arabic"/>
          <w:sz w:val="40"/>
          <w:szCs w:val="40"/>
        </w:rPr>
        <w:t>.</w:t>
      </w:r>
    </w:p>
    <w:p w14:paraId="638C24F9" w14:textId="5FB8BE44" w:rsidR="00286DB0" w:rsidRPr="00C406BC" w:rsidRDefault="00286DB0" w:rsidP="005C2702">
      <w:pPr>
        <w:spacing w:after="240" w:line="360" w:lineRule="auto"/>
        <w:ind w:firstLine="720"/>
        <w:jc w:val="both"/>
        <w:rPr>
          <w:rFonts w:ascii="Traditional Arabic" w:eastAsia="Calibri" w:hAnsi="Traditional Arabic" w:cs="Traditional Arabic"/>
          <w:sz w:val="40"/>
          <w:szCs w:val="40"/>
          <w:rtl/>
        </w:rPr>
      </w:pPr>
      <w:r w:rsidRPr="00C406BC">
        <w:rPr>
          <w:rFonts w:ascii="Traditional Arabic" w:eastAsia="Calibri" w:hAnsi="Traditional Arabic" w:cs="Traditional Arabic"/>
          <w:sz w:val="40"/>
          <w:szCs w:val="40"/>
          <w:rtl/>
        </w:rPr>
        <w:t xml:space="preserve">وخلاصة القول فيما تقدم، </w:t>
      </w:r>
      <w:bookmarkStart w:id="27" w:name="_Hlk180671250"/>
      <w:r w:rsidR="005C2702">
        <w:rPr>
          <w:rFonts w:ascii="Traditional Arabic" w:eastAsia="Calibri" w:hAnsi="Traditional Arabic" w:cs="Traditional Arabic" w:hint="cs"/>
          <w:sz w:val="40"/>
          <w:szCs w:val="40"/>
          <w:rtl/>
        </w:rPr>
        <w:t>إ</w:t>
      </w:r>
      <w:r w:rsidRPr="00C406BC">
        <w:rPr>
          <w:rFonts w:ascii="Traditional Arabic" w:eastAsia="Calibri" w:hAnsi="Traditional Arabic" w:cs="Traditional Arabic"/>
          <w:sz w:val="40"/>
          <w:szCs w:val="40"/>
          <w:rtl/>
        </w:rPr>
        <w:t>ن الشريعة الإسلامية بصفة عامة لا تأخذ بمبدأ التقادم، إلا أنها تأخذ بنظرية منع سماع الدعوى، وذلك بناءً على ما هو راجح في المذهب المالكي</w:t>
      </w:r>
      <w:r w:rsidR="005C2702">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والمذهب الحنفي</w:t>
      </w:r>
      <w:r w:rsidR="005C2702">
        <w:rPr>
          <w:rFonts w:ascii="Traditional Arabic" w:eastAsia="Calibri" w:hAnsi="Traditional Arabic" w:cs="Traditional Arabic" w:hint="cs"/>
          <w:sz w:val="40"/>
          <w:szCs w:val="40"/>
          <w:rtl/>
        </w:rPr>
        <w:t xml:space="preserve">، كما </w:t>
      </w:r>
      <w:r w:rsidRPr="00C406BC">
        <w:rPr>
          <w:rFonts w:ascii="Traditional Arabic" w:eastAsia="Calibri" w:hAnsi="Traditional Arabic" w:cs="Traditional Arabic"/>
          <w:sz w:val="40"/>
          <w:szCs w:val="40"/>
          <w:rtl/>
        </w:rPr>
        <w:t>يلاحظ أن الفقيه المالكي الحطاب، وهو أحد الأعلام الكبار في فقه الإمام مالك، يقرر في نص طويل عدم سماع الدعوى</w:t>
      </w:r>
      <w:bookmarkEnd w:id="27"/>
      <w:r w:rsidRPr="00C406BC">
        <w:rPr>
          <w:rFonts w:ascii="Traditional Arabic" w:eastAsia="Calibri" w:hAnsi="Traditional Arabic" w:cs="Traditional Arabic"/>
          <w:sz w:val="40"/>
          <w:szCs w:val="40"/>
          <w:rtl/>
        </w:rPr>
        <w:t>، وأن الذي يسقط بمضي المدة هو الحق في المطالبة بالدين، وبذلك يفصل بين حق المطالبة بالدين</w:t>
      </w:r>
      <w:r w:rsidR="005C2702">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والدين نفسه، لاحتمال ألا يكون المدين قد قضى دين</w:t>
      </w:r>
      <w:r w:rsidR="005C2702">
        <w:rPr>
          <w:rFonts w:ascii="Traditional Arabic" w:eastAsia="Calibri" w:hAnsi="Traditional Arabic" w:cs="Traditional Arabic" w:hint="cs"/>
          <w:sz w:val="40"/>
          <w:szCs w:val="40"/>
          <w:rtl/>
        </w:rPr>
        <w:t>ه، و</w:t>
      </w:r>
      <w:r w:rsidRPr="00C406BC">
        <w:rPr>
          <w:rFonts w:ascii="Traditional Arabic" w:eastAsia="Calibri" w:hAnsi="Traditional Arabic" w:cs="Traditional Arabic"/>
          <w:sz w:val="40"/>
          <w:szCs w:val="40"/>
          <w:rtl/>
        </w:rPr>
        <w:t>في هذه الحالة يسقط الحق في المطالبة بالدين، ولكن الدين نفسه يظل باقياً في ذمة المدين، يتحمل وزر ذلك أمام الله تعالى</w:t>
      </w:r>
      <w:r w:rsidR="005C2702">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وهو إنما يضع بذلك نظرية الدفع بالتقادم</w:t>
      </w:r>
      <w:r w:rsidR="005C2702">
        <w:rPr>
          <w:rFonts w:ascii="Traditional Arabic" w:eastAsia="Calibri" w:hAnsi="Traditional Arabic" w:cs="Traditional Arabic" w:hint="cs"/>
          <w:sz w:val="40"/>
          <w:szCs w:val="40"/>
          <w:rtl/>
        </w:rPr>
        <w:t>.</w:t>
      </w:r>
    </w:p>
    <w:p w14:paraId="12734438" w14:textId="566CDE42" w:rsidR="00286DB0" w:rsidRPr="00C406BC" w:rsidRDefault="00286DB0" w:rsidP="00C406BC">
      <w:pPr>
        <w:spacing w:after="240" w:line="360" w:lineRule="auto"/>
        <w:ind w:firstLine="720"/>
        <w:jc w:val="both"/>
        <w:rPr>
          <w:rFonts w:ascii="Traditional Arabic" w:eastAsia="Calibri" w:hAnsi="Traditional Arabic" w:cs="Traditional Arabic"/>
          <w:sz w:val="40"/>
          <w:szCs w:val="40"/>
        </w:rPr>
      </w:pPr>
      <w:bookmarkStart w:id="28" w:name="_Hlk180671414"/>
      <w:r w:rsidRPr="00C406BC">
        <w:rPr>
          <w:rFonts w:ascii="Traditional Arabic" w:eastAsia="Calibri" w:hAnsi="Traditional Arabic" w:cs="Traditional Arabic"/>
          <w:sz w:val="40"/>
          <w:szCs w:val="40"/>
          <w:rtl/>
        </w:rPr>
        <w:t>ويعود الأخذ بقاعدة عدم سماع الدعوى إلى الاستحسان الذي يهدف إلى وضع حد زمني تنتهي عنده المنازعات بهدف استقرار المعاملات</w:t>
      </w:r>
      <w:r w:rsidR="005C2702">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كما أنه يستند في ذلك على السلطة </w:t>
      </w:r>
      <w:r w:rsidRPr="00C406BC">
        <w:rPr>
          <w:rFonts w:ascii="Traditional Arabic" w:eastAsia="Calibri" w:hAnsi="Traditional Arabic" w:cs="Traditional Arabic"/>
          <w:sz w:val="40"/>
          <w:szCs w:val="40"/>
          <w:rtl/>
        </w:rPr>
        <w:lastRenderedPageBreak/>
        <w:t>المعترف بها لولي الأمر في تخصيص القضاء زمنياً</w:t>
      </w:r>
      <w:r w:rsidR="005C2702">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ومكانياً</w:t>
      </w:r>
      <w:bookmarkEnd w:id="28"/>
      <w:r w:rsidRPr="00C406BC">
        <w:rPr>
          <w:rFonts w:ascii="Traditional Arabic" w:eastAsia="Calibri" w:hAnsi="Traditional Arabic" w:cs="Traditional Arabic"/>
          <w:sz w:val="40"/>
          <w:szCs w:val="40"/>
          <w:rtl/>
        </w:rPr>
        <w:t>، كما أنه يمنع عناء القاضي الذي يمكن أن يحصل فيما لو فتح للناس باب المنازعات</w:t>
      </w:r>
      <w:r w:rsidR="005C2702">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والشغب في الادعاء دون وضع حد تنتهي عنده المطالبة </w:t>
      </w:r>
      <w:r w:rsidRPr="00BA4DF8">
        <w:rPr>
          <w:rFonts w:ascii="Traditional Arabic" w:eastAsia="Calibri" w:hAnsi="Traditional Arabic" w:cs="Traditional Arabic"/>
          <w:sz w:val="40"/>
          <w:szCs w:val="40"/>
          <w:rtl/>
        </w:rPr>
        <w:t>بالحقوق</w:t>
      </w:r>
      <w:r w:rsidRPr="00BA4DF8">
        <w:rPr>
          <w:rFonts w:ascii="Traditional Arabic" w:eastAsia="Calibri" w:hAnsi="Traditional Arabic" w:cs="Traditional Arabic"/>
          <w:sz w:val="40"/>
          <w:szCs w:val="40"/>
        </w:rPr>
        <w:t>.</w:t>
      </w:r>
    </w:p>
    <w:p w14:paraId="6B0CD110" w14:textId="17D761C7" w:rsidR="00286DB0" w:rsidRPr="00C406BC" w:rsidRDefault="00286DB0" w:rsidP="00C406BC">
      <w:pPr>
        <w:spacing w:after="240" w:line="360" w:lineRule="auto"/>
        <w:ind w:firstLine="720"/>
        <w:jc w:val="both"/>
        <w:rPr>
          <w:rFonts w:ascii="Traditional Arabic" w:eastAsia="Calibri" w:hAnsi="Traditional Arabic" w:cs="Traditional Arabic"/>
          <w:sz w:val="40"/>
          <w:szCs w:val="40"/>
        </w:rPr>
      </w:pPr>
      <w:r w:rsidRPr="00C406BC">
        <w:rPr>
          <w:rFonts w:ascii="Traditional Arabic" w:eastAsia="Calibri" w:hAnsi="Traditional Arabic" w:cs="Traditional Arabic"/>
          <w:sz w:val="40"/>
          <w:szCs w:val="40"/>
          <w:rtl/>
        </w:rPr>
        <w:t>وإلى جانب ذلك، فإن قاعدة عدم سماع الدعوى تعتبر قرينة على حصول الوفاء، إذ يغلب أن الإنسان لا يسكت عن المطالبة بحقه مدة طويلة، ما لم يكن قد حصل عليه بالفعل</w:t>
      </w:r>
      <w:r w:rsidR="00A312F8">
        <w:rPr>
          <w:rFonts w:ascii="Traditional Arabic" w:eastAsia="Calibri" w:hAnsi="Traditional Arabic" w:cs="Traditional Arabic" w:hint="cs"/>
          <w:sz w:val="40"/>
          <w:szCs w:val="40"/>
          <w:rtl/>
        </w:rPr>
        <w:t xml:space="preserve">، </w:t>
      </w:r>
      <w:r w:rsidRPr="00C406BC">
        <w:rPr>
          <w:rFonts w:ascii="Traditional Arabic" w:eastAsia="Calibri" w:hAnsi="Traditional Arabic" w:cs="Traditional Arabic"/>
          <w:sz w:val="40"/>
          <w:szCs w:val="40"/>
          <w:rtl/>
        </w:rPr>
        <w:t>وقد تحدث مالك في المدونة عن رجل يقر لقوم أن أباهم كان قد أسلفه مالاً، وأنه قد قضاه ذلك الدين</w:t>
      </w:r>
      <w:r w:rsidR="00295BA6">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ويقرر - رحمه الله - أنه إذا كان قد مضى على ذلك مدة طويلة، فإن على المقر الحلف</w:t>
      </w:r>
      <w:r w:rsidR="00295BA6">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ويبرأ بذلك</w:t>
      </w:r>
      <w:r w:rsidRPr="00C406BC">
        <w:rPr>
          <w:rFonts w:ascii="Traditional Arabic" w:eastAsia="Calibri" w:hAnsi="Traditional Arabic" w:cs="Traditional Arabic"/>
          <w:sz w:val="40"/>
          <w:szCs w:val="40"/>
        </w:rPr>
        <w:t>.</w:t>
      </w:r>
    </w:p>
    <w:p w14:paraId="65BD3FE8" w14:textId="608C83E1" w:rsidR="00286DB0" w:rsidRPr="00B30FA2" w:rsidRDefault="00286DB0" w:rsidP="00C406BC">
      <w:pPr>
        <w:spacing w:after="240" w:line="360" w:lineRule="auto"/>
        <w:jc w:val="both"/>
        <w:rPr>
          <w:rFonts w:ascii="Traditional Arabic" w:eastAsia="Calibri" w:hAnsi="Traditional Arabic" w:cs="Traditional Arabic"/>
          <w:sz w:val="40"/>
          <w:szCs w:val="40"/>
        </w:rPr>
      </w:pPr>
      <w:r w:rsidRPr="00B30FA2">
        <w:rPr>
          <w:rFonts w:ascii="Traditional Arabic" w:eastAsia="Calibri" w:hAnsi="Traditional Arabic" w:cs="Traditional Arabic"/>
          <w:sz w:val="40"/>
          <w:szCs w:val="40"/>
          <w:rtl/>
        </w:rPr>
        <w:t>الفرع الثاني: عدم سماع الدعوى في الأنظمة السعودية</w:t>
      </w:r>
      <w:r w:rsidR="00B30FA2" w:rsidRPr="00B30FA2">
        <w:rPr>
          <w:rFonts w:ascii="Traditional Arabic" w:eastAsia="Calibri" w:hAnsi="Traditional Arabic" w:cs="Traditional Arabic" w:hint="cs"/>
          <w:sz w:val="40"/>
          <w:szCs w:val="40"/>
          <w:rtl/>
        </w:rPr>
        <w:t>:</w:t>
      </w:r>
    </w:p>
    <w:p w14:paraId="299D34E6" w14:textId="3D8C1364" w:rsidR="00286DB0" w:rsidRPr="00C406BC" w:rsidRDefault="00286DB0" w:rsidP="005E73FB">
      <w:pPr>
        <w:spacing w:after="240" w:line="360" w:lineRule="auto"/>
        <w:ind w:firstLine="720"/>
        <w:jc w:val="both"/>
        <w:rPr>
          <w:rFonts w:ascii="Traditional Arabic" w:eastAsia="Calibri" w:hAnsi="Traditional Arabic" w:cs="Traditional Arabic"/>
          <w:sz w:val="40"/>
          <w:szCs w:val="40"/>
        </w:rPr>
      </w:pPr>
      <w:r w:rsidRPr="00C406BC">
        <w:rPr>
          <w:rFonts w:ascii="Traditional Arabic" w:eastAsia="Calibri" w:hAnsi="Traditional Arabic" w:cs="Traditional Arabic"/>
          <w:sz w:val="40"/>
          <w:szCs w:val="40"/>
          <w:rtl/>
        </w:rPr>
        <w:t>سبق القول إن النظام السعودي استخدم عبارة عدم سماع الدعوى بدلاً من عبارة التقادم المستخدمة في معظم القوانين</w:t>
      </w:r>
      <w:r w:rsidR="00393B72">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والأنظمة، وجاءت المذكرة التفسيرية لتبرر ذلك بأنه اتباعاً لأحكام الشريعة الإسلامية</w:t>
      </w:r>
      <w:r w:rsidR="00D8082C">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ومع ذلك، أخذ النظام السعودي بقاعدة «السقوط» في بعض القوانين</w:t>
      </w:r>
      <w:r w:rsidR="005E73FB">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w:t>
      </w:r>
      <w:r w:rsidRPr="00C406BC">
        <w:rPr>
          <w:rFonts w:ascii="Traditional Arabic" w:eastAsia="Calibri" w:hAnsi="Traditional Arabic" w:cs="Traditional Arabic"/>
          <w:sz w:val="40"/>
          <w:szCs w:val="40"/>
          <w:rtl/>
        </w:rPr>
        <w:lastRenderedPageBreak/>
        <w:t>والقرارات الإدارية، كما عبرت عدة جهات ذات اختصاص قضائي بلفظة «التقادم</w:t>
      </w:r>
      <w:r w:rsidR="005A7875">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vertAlign w:val="superscript"/>
        </w:rPr>
        <w:footnoteReference w:id="30"/>
      </w:r>
      <w:r w:rsidRPr="00C406BC">
        <w:rPr>
          <w:rFonts w:ascii="Traditional Arabic" w:eastAsia="Calibri" w:hAnsi="Traditional Arabic" w:cs="Traditional Arabic"/>
          <w:sz w:val="40"/>
          <w:szCs w:val="40"/>
          <w:rtl/>
        </w:rPr>
        <w:t>وكان مبدأ عدم سماع الدعوى قد أخذت به القوانين العثمانية المستمدة من فقه المذهب الحنفي</w:t>
      </w:r>
      <w:r w:rsidR="005A7875">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وكانت تلك القوانين مطبقة في الحجاز، وحين فتح الملك عبد العزيز الحجاز سنة 1344 هـ - 1925م، أصدر كثيراً من الأنظمة السائدة في المنطقة</w:t>
      </w:r>
      <w:r w:rsidR="00451778">
        <w:rPr>
          <w:rFonts w:ascii="Traditional Arabic" w:eastAsia="Calibri" w:hAnsi="Traditional Arabic" w:cs="Traditional Arabic" w:hint="cs"/>
          <w:sz w:val="40"/>
          <w:szCs w:val="40"/>
          <w:rtl/>
        </w:rPr>
        <w:t xml:space="preserve">، </w:t>
      </w:r>
      <w:r w:rsidRPr="00C406BC">
        <w:rPr>
          <w:rFonts w:ascii="Traditional Arabic" w:eastAsia="Calibri" w:hAnsi="Traditional Arabic" w:cs="Traditional Arabic"/>
          <w:sz w:val="40"/>
          <w:szCs w:val="40"/>
          <w:rtl/>
        </w:rPr>
        <w:t>التي تأخذ بها بعض الدول العربية</w:t>
      </w:r>
      <w:r w:rsidR="00664248">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والمتأثرة بالشريعة الإسلامية</w:t>
      </w:r>
      <w:r w:rsidR="00664248">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وعن طريق تلك القوانين انتقل مبدأ عدم سماع الدعوى إلى بعض الأنظمة السعودية</w:t>
      </w:r>
      <w:r w:rsidR="00664248">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w:t>
      </w:r>
      <w:r w:rsidR="00664248">
        <w:rPr>
          <w:rFonts w:ascii="Traditional Arabic" w:eastAsia="Calibri" w:hAnsi="Traditional Arabic" w:cs="Traditional Arabic" w:hint="cs"/>
          <w:sz w:val="40"/>
          <w:szCs w:val="40"/>
          <w:rtl/>
        </w:rPr>
        <w:t xml:space="preserve">التي </w:t>
      </w:r>
      <w:r w:rsidRPr="00C406BC">
        <w:rPr>
          <w:rFonts w:ascii="Traditional Arabic" w:eastAsia="Calibri" w:hAnsi="Traditional Arabic" w:cs="Traditional Arabic"/>
          <w:sz w:val="40"/>
          <w:szCs w:val="40"/>
          <w:rtl/>
        </w:rPr>
        <w:t>منه</w:t>
      </w:r>
      <w:r w:rsidR="00021288">
        <w:rPr>
          <w:rFonts w:ascii="Traditional Arabic" w:eastAsia="Calibri" w:hAnsi="Traditional Arabic" w:cs="Traditional Arabic" w:hint="cs"/>
          <w:sz w:val="40"/>
          <w:szCs w:val="40"/>
          <w:rtl/>
        </w:rPr>
        <w:t>ا ما يلي</w:t>
      </w:r>
      <w:r w:rsidRPr="00C406BC">
        <w:rPr>
          <w:rFonts w:ascii="Traditional Arabic" w:eastAsia="Calibri" w:hAnsi="Traditional Arabic" w:cs="Traditional Arabic"/>
          <w:sz w:val="40"/>
          <w:szCs w:val="40"/>
        </w:rPr>
        <w:t>:</w:t>
      </w:r>
      <w:r w:rsidRPr="00C406BC">
        <w:rPr>
          <w:rFonts w:ascii="Traditional Arabic" w:eastAsia="Calibri" w:hAnsi="Traditional Arabic" w:cs="Traditional Arabic"/>
          <w:sz w:val="40"/>
          <w:szCs w:val="40"/>
          <w:vertAlign w:val="superscript"/>
        </w:rPr>
        <w:footnoteReference w:id="31"/>
      </w:r>
    </w:p>
    <w:p w14:paraId="0F0316FA" w14:textId="72BA05D2" w:rsidR="00286DB0" w:rsidRPr="00C406BC" w:rsidRDefault="007976B9" w:rsidP="007976B9">
      <w:pPr>
        <w:spacing w:after="240" w:line="360" w:lineRule="auto"/>
        <w:jc w:val="both"/>
        <w:rPr>
          <w:rFonts w:ascii="Traditional Arabic" w:eastAsia="Calibri" w:hAnsi="Traditional Arabic" w:cs="Traditional Arabic"/>
          <w:sz w:val="40"/>
          <w:szCs w:val="40"/>
        </w:rPr>
      </w:pPr>
      <w:r w:rsidRPr="00021288">
        <w:rPr>
          <w:rFonts w:ascii="Traditional Arabic" w:eastAsia="Calibri" w:hAnsi="Traditional Arabic" w:cs="Traditional Arabic" w:hint="cs"/>
          <w:sz w:val="40"/>
          <w:szCs w:val="40"/>
          <w:rtl/>
        </w:rPr>
        <w:t>1-</w:t>
      </w:r>
      <w:r w:rsidR="00286DB0" w:rsidRPr="00021288">
        <w:rPr>
          <w:rFonts w:ascii="Traditional Arabic" w:eastAsia="Calibri" w:hAnsi="Traditional Arabic" w:cs="Traditional Arabic"/>
          <w:sz w:val="40"/>
          <w:szCs w:val="40"/>
          <w:rtl/>
        </w:rPr>
        <w:t>نظام المحكمة التجارية</w:t>
      </w:r>
      <w:r w:rsidR="00286DB0" w:rsidRPr="00C406BC">
        <w:rPr>
          <w:rFonts w:ascii="Traditional Arabic" w:eastAsia="Calibri" w:hAnsi="Traditional Arabic" w:cs="Traditional Arabic"/>
          <w:sz w:val="40"/>
          <w:szCs w:val="40"/>
          <w:rtl/>
        </w:rPr>
        <w:t xml:space="preserve"> الصادر بالأمر السامي رقم</w:t>
      </w:r>
      <w:r w:rsidR="00021288">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w:t>
      </w:r>
      <w:r w:rsidR="00D50CA8">
        <w:rPr>
          <w:rFonts w:ascii="Traditional Arabic" w:eastAsia="Calibri" w:hAnsi="Traditional Arabic" w:cs="Traditional Arabic" w:hint="cs"/>
          <w:sz w:val="40"/>
          <w:szCs w:val="40"/>
          <w:rtl/>
        </w:rPr>
        <w:t>(32)،</w:t>
      </w:r>
      <w:r w:rsidR="00286DB0" w:rsidRPr="00C406BC">
        <w:rPr>
          <w:rFonts w:ascii="Traditional Arabic" w:eastAsia="Calibri" w:hAnsi="Traditional Arabic" w:cs="Traditional Arabic"/>
          <w:sz w:val="40"/>
          <w:szCs w:val="40"/>
          <w:rtl/>
        </w:rPr>
        <w:t xml:space="preserve"> وتاريخ 11/10/1350 هـ، والذي نص على عدم سماع الدعوى</w:t>
      </w:r>
      <w:r w:rsidR="00D50CA8">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فقد جاء في هذا النظام</w:t>
      </w:r>
      <w:r w:rsidR="00651807">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وفي الفصل الثالث عشر من الباب الثاني </w:t>
      </w:r>
      <w:r w:rsidR="000F68BD" w:rsidRPr="00C406BC">
        <w:rPr>
          <w:rFonts w:ascii="Traditional Arabic" w:eastAsia="Calibri" w:hAnsi="Traditional Arabic" w:cs="Traditional Arabic" w:hint="cs"/>
          <w:sz w:val="40"/>
          <w:szCs w:val="40"/>
          <w:rtl/>
        </w:rPr>
        <w:t>المخصص لمرور</w:t>
      </w:r>
      <w:r w:rsidR="00286DB0" w:rsidRPr="00C406BC">
        <w:rPr>
          <w:rFonts w:ascii="Traditional Arabic" w:eastAsia="Calibri" w:hAnsi="Traditional Arabic" w:cs="Traditional Arabic"/>
          <w:sz w:val="40"/>
          <w:szCs w:val="40"/>
          <w:rtl/>
        </w:rPr>
        <w:t xml:space="preserve"> الزمن في المواد من 423</w:t>
      </w:r>
      <w:r w:rsidR="00651807">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وحتى المادة 429، </w:t>
      </w:r>
      <w:r w:rsidR="00F224A8">
        <w:rPr>
          <w:rFonts w:ascii="Traditional Arabic" w:eastAsia="Calibri" w:hAnsi="Traditional Arabic" w:cs="Traditional Arabic" w:hint="cs"/>
          <w:sz w:val="40"/>
          <w:szCs w:val="40"/>
          <w:rtl/>
        </w:rPr>
        <w:t>ف</w:t>
      </w:r>
      <w:r w:rsidR="00286DB0" w:rsidRPr="00C406BC">
        <w:rPr>
          <w:rFonts w:ascii="Traditional Arabic" w:eastAsia="Calibri" w:hAnsi="Traditional Arabic" w:cs="Traditional Arabic"/>
          <w:sz w:val="40"/>
          <w:szCs w:val="40"/>
          <w:rtl/>
        </w:rPr>
        <w:t xml:space="preserve">قد حدد النظام </w:t>
      </w:r>
      <w:r w:rsidR="00F224A8">
        <w:rPr>
          <w:rFonts w:ascii="Traditional Arabic" w:eastAsia="Calibri" w:hAnsi="Traditional Arabic" w:cs="Traditional Arabic" w:hint="cs"/>
          <w:sz w:val="40"/>
          <w:szCs w:val="40"/>
          <w:rtl/>
        </w:rPr>
        <w:t xml:space="preserve">فيها </w:t>
      </w:r>
      <w:r w:rsidR="00286DB0" w:rsidRPr="00C406BC">
        <w:rPr>
          <w:rFonts w:ascii="Traditional Arabic" w:eastAsia="Calibri" w:hAnsi="Traditional Arabic" w:cs="Traditional Arabic"/>
          <w:sz w:val="40"/>
          <w:szCs w:val="40"/>
          <w:rtl/>
        </w:rPr>
        <w:t>مدة خمس سنوات لعدم سماع الدعوى في بعض الحالات، وثلاث سنوات في حالات أخرى، وسنة واحدة في بعض الدعاوى</w:t>
      </w:r>
      <w:r w:rsidR="00286DB0" w:rsidRPr="00C406BC">
        <w:rPr>
          <w:rFonts w:ascii="Traditional Arabic" w:eastAsia="Calibri" w:hAnsi="Traditional Arabic" w:cs="Traditional Arabic"/>
          <w:sz w:val="40"/>
          <w:szCs w:val="40"/>
        </w:rPr>
        <w:t>.</w:t>
      </w:r>
    </w:p>
    <w:p w14:paraId="049529E0" w14:textId="37F99C90" w:rsidR="00286DB0" w:rsidRPr="00C406BC" w:rsidRDefault="00F224A8" w:rsidP="00F224A8">
      <w:pPr>
        <w:spacing w:after="240" w:line="360" w:lineRule="auto"/>
        <w:jc w:val="both"/>
        <w:rPr>
          <w:rFonts w:ascii="Traditional Arabic" w:eastAsia="Calibri" w:hAnsi="Traditional Arabic" w:cs="Traditional Arabic"/>
          <w:sz w:val="40"/>
          <w:szCs w:val="40"/>
        </w:rPr>
      </w:pPr>
      <w:r w:rsidRPr="00F224A8">
        <w:rPr>
          <w:rFonts w:ascii="Traditional Arabic" w:eastAsia="Calibri" w:hAnsi="Traditional Arabic" w:cs="Traditional Arabic" w:hint="cs"/>
          <w:sz w:val="40"/>
          <w:szCs w:val="40"/>
          <w:rtl/>
        </w:rPr>
        <w:lastRenderedPageBreak/>
        <w:t>2-</w:t>
      </w:r>
      <w:r w:rsidR="00286DB0" w:rsidRPr="00F224A8">
        <w:rPr>
          <w:rFonts w:ascii="Traditional Arabic" w:eastAsia="Calibri" w:hAnsi="Traditional Arabic" w:cs="Traditional Arabic"/>
          <w:sz w:val="40"/>
          <w:szCs w:val="40"/>
          <w:rtl/>
        </w:rPr>
        <w:t>نظام المرافعات الشرعية الصادر بالأمر السامي في 1355/2/11 هـ، الذي نص في</w:t>
      </w:r>
      <w:r w:rsidR="00286DB0" w:rsidRPr="00C406BC">
        <w:rPr>
          <w:rFonts w:ascii="Traditional Arabic" w:eastAsia="Calibri" w:hAnsi="Traditional Arabic" w:cs="Traditional Arabic"/>
          <w:sz w:val="40"/>
          <w:szCs w:val="40"/>
          <w:rtl/>
        </w:rPr>
        <w:t xml:space="preserve"> مادته رقم 138 على أن جميع الإعلامات</w:t>
      </w:r>
      <w:r w:rsidR="00E73BE6">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والحجج الشرعية</w:t>
      </w:r>
      <w:r w:rsidR="00E73BE6">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ووضع اليد السابق عن عام 1343 هـ  </w:t>
      </w:r>
      <w:r w:rsidR="00E73BE6">
        <w:rPr>
          <w:rFonts w:ascii="Traditional Arabic" w:eastAsia="Calibri" w:hAnsi="Traditional Arabic" w:cs="Traditional Arabic" w:hint="cs"/>
          <w:sz w:val="40"/>
          <w:szCs w:val="40"/>
          <w:rtl/>
        </w:rPr>
        <w:t>تمنع</w:t>
      </w:r>
      <w:r w:rsidR="00286DB0" w:rsidRPr="00C406BC">
        <w:rPr>
          <w:rFonts w:ascii="Traditional Arabic" w:eastAsia="Calibri" w:hAnsi="Traditional Arabic" w:cs="Traditional Arabic"/>
          <w:sz w:val="40"/>
          <w:szCs w:val="40"/>
          <w:rtl/>
        </w:rPr>
        <w:t xml:space="preserve"> المحاكم الشرعية من النظر فيها</w:t>
      </w:r>
      <w:r w:rsidR="00D51BC7">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وقد صدر مرسوم ملكي رقم</w:t>
      </w:r>
      <w:r w:rsidR="00FB3411">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67/4/2</w:t>
      </w:r>
      <w:r w:rsidR="00FB3411">
        <w:rPr>
          <w:rFonts w:ascii="Traditional Arabic" w:eastAsia="Calibri" w:hAnsi="Traditional Arabic" w:cs="Traditional Arabic" w:hint="cs"/>
          <w:sz w:val="40"/>
          <w:szCs w:val="40"/>
          <w:rtl/>
        </w:rPr>
        <w:t>)</w:t>
      </w:r>
      <w:r w:rsidR="0048667B">
        <w:rPr>
          <w:rFonts w:ascii="Traditional Arabic" w:eastAsia="Calibri" w:hAnsi="Traditional Arabic" w:cs="Traditional Arabic" w:hint="cs"/>
          <w:sz w:val="40"/>
          <w:szCs w:val="40"/>
          <w:rtl/>
        </w:rPr>
        <w:t xml:space="preserve">، </w:t>
      </w:r>
      <w:r w:rsidR="00286DB0" w:rsidRPr="00C406BC">
        <w:rPr>
          <w:rFonts w:ascii="Traditional Arabic" w:eastAsia="Calibri" w:hAnsi="Traditional Arabic" w:cs="Traditional Arabic"/>
          <w:sz w:val="40"/>
          <w:szCs w:val="40"/>
          <w:rtl/>
        </w:rPr>
        <w:t>وتاريخ 9/5/1354 هـ يوضح شروط عدم سماع الدعوى</w:t>
      </w:r>
      <w:r w:rsidR="00286DB0" w:rsidRPr="00C406BC">
        <w:rPr>
          <w:rFonts w:ascii="Traditional Arabic" w:eastAsia="Calibri" w:hAnsi="Traditional Arabic" w:cs="Traditional Arabic"/>
          <w:sz w:val="40"/>
          <w:szCs w:val="40"/>
        </w:rPr>
        <w:t>.</w:t>
      </w:r>
    </w:p>
    <w:p w14:paraId="69741A90" w14:textId="18A4B252" w:rsidR="00286DB0" w:rsidRPr="00A332AA" w:rsidRDefault="003B2E72" w:rsidP="003B2E72">
      <w:pPr>
        <w:spacing w:after="240" w:line="360" w:lineRule="auto"/>
        <w:jc w:val="both"/>
        <w:rPr>
          <w:rFonts w:ascii="Traditional Arabic" w:eastAsia="Calibri" w:hAnsi="Traditional Arabic" w:cs="Traditional Arabic"/>
          <w:sz w:val="40"/>
          <w:szCs w:val="40"/>
          <w:rtl/>
        </w:rPr>
      </w:pPr>
      <w:r w:rsidRPr="003B2E72">
        <w:rPr>
          <w:rFonts w:ascii="Traditional Arabic" w:eastAsia="Calibri" w:hAnsi="Traditional Arabic" w:cs="Traditional Arabic" w:hint="cs"/>
          <w:sz w:val="40"/>
          <w:szCs w:val="40"/>
          <w:rtl/>
        </w:rPr>
        <w:t>3-</w:t>
      </w:r>
      <w:r w:rsidR="00286DB0" w:rsidRPr="003B2E72">
        <w:rPr>
          <w:rFonts w:ascii="Traditional Arabic" w:eastAsia="Calibri" w:hAnsi="Traditional Arabic" w:cs="Traditional Arabic"/>
          <w:sz w:val="40"/>
          <w:szCs w:val="40"/>
          <w:rtl/>
        </w:rPr>
        <w:t xml:space="preserve">نظام الأوراق التجارية المصدق بالمرسوم الملكي </w:t>
      </w:r>
      <w:r w:rsidR="000F001F" w:rsidRPr="003B2E72">
        <w:rPr>
          <w:rFonts w:ascii="Traditional Arabic" w:eastAsia="Calibri" w:hAnsi="Traditional Arabic" w:cs="Traditional Arabic" w:hint="cs"/>
          <w:sz w:val="40"/>
          <w:szCs w:val="40"/>
          <w:rtl/>
        </w:rPr>
        <w:t>رقم</w:t>
      </w:r>
      <w:r w:rsidR="000F001F">
        <w:rPr>
          <w:rFonts w:ascii="Traditional Arabic" w:eastAsia="Calibri" w:hAnsi="Traditional Arabic" w:cs="Traditional Arabic" w:hint="cs"/>
          <w:sz w:val="40"/>
          <w:szCs w:val="40"/>
          <w:rtl/>
        </w:rPr>
        <w:t xml:space="preserve">: </w:t>
      </w:r>
      <w:r w:rsidR="000F001F">
        <w:rPr>
          <w:rFonts w:ascii="Traditional Arabic" w:eastAsia="Calibri" w:hAnsi="Traditional Arabic" w:cs="Traditional Arabic"/>
          <w:sz w:val="40"/>
          <w:szCs w:val="40"/>
          <w:rtl/>
        </w:rPr>
        <w:t>(</w:t>
      </w:r>
      <w:r w:rsidR="000F001F">
        <w:rPr>
          <w:rFonts w:ascii="Traditional Arabic" w:eastAsia="Calibri" w:hAnsi="Traditional Arabic" w:cs="Traditional Arabic" w:hint="cs"/>
          <w:sz w:val="40"/>
          <w:szCs w:val="40"/>
          <w:rtl/>
        </w:rPr>
        <w:t>37</w:t>
      </w:r>
      <w:r w:rsidR="000F001F" w:rsidRPr="003B2E72">
        <w:rPr>
          <w:rFonts w:ascii="Traditional Arabic" w:eastAsia="Calibri" w:hAnsi="Traditional Arabic" w:cs="Traditional Arabic" w:hint="cs"/>
          <w:sz w:val="40"/>
          <w:szCs w:val="40"/>
          <w:rtl/>
        </w:rPr>
        <w:t>)</w:t>
      </w:r>
      <w:r w:rsidR="0026115A">
        <w:rPr>
          <w:rFonts w:ascii="Traditional Arabic" w:eastAsia="Calibri" w:hAnsi="Traditional Arabic" w:cs="Traditional Arabic" w:hint="cs"/>
          <w:sz w:val="40"/>
          <w:szCs w:val="40"/>
          <w:rtl/>
        </w:rPr>
        <w:t>،</w:t>
      </w:r>
      <w:r w:rsidR="00286DB0" w:rsidRPr="003B2E72">
        <w:rPr>
          <w:rFonts w:ascii="Traditional Arabic" w:eastAsia="Calibri" w:hAnsi="Traditional Arabic" w:cs="Traditional Arabic"/>
          <w:sz w:val="40"/>
          <w:szCs w:val="40"/>
          <w:rtl/>
        </w:rPr>
        <w:t xml:space="preserve"> وتاريخ 1383/10/11 هـ، حيث</w:t>
      </w:r>
      <w:r w:rsidR="00286DB0" w:rsidRPr="00C406BC">
        <w:rPr>
          <w:rFonts w:ascii="Traditional Arabic" w:eastAsia="Calibri" w:hAnsi="Traditional Arabic" w:cs="Traditional Arabic"/>
          <w:sz w:val="40"/>
          <w:szCs w:val="40"/>
          <w:rtl/>
        </w:rPr>
        <w:t xml:space="preserve"> جعل الفصل العاشر من الباب الأول في عدم سماع الدعوى</w:t>
      </w:r>
      <w:r w:rsidR="00A169D2">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وقد جاء في المذكرة التفسيرية لهذا النظام</w:t>
      </w:r>
      <w:r w:rsidR="00A169D2">
        <w:rPr>
          <w:rFonts w:ascii="Traditional Arabic" w:eastAsia="Calibri" w:hAnsi="Traditional Arabic" w:cs="Traditional Arabic" w:hint="cs"/>
          <w:sz w:val="40"/>
          <w:szCs w:val="40"/>
          <w:rtl/>
        </w:rPr>
        <w:t xml:space="preserve"> ما يلي (</w:t>
      </w:r>
      <w:r w:rsidR="00286DB0" w:rsidRPr="00C406BC">
        <w:rPr>
          <w:rFonts w:ascii="Traditional Arabic" w:eastAsia="Calibri" w:hAnsi="Traditional Arabic" w:cs="Traditional Arabic"/>
          <w:sz w:val="40"/>
          <w:szCs w:val="40"/>
          <w:rtl/>
        </w:rPr>
        <w:t xml:space="preserve">وقد آثر النظام أن يستعمل عبارة عدم سماع الدعوى بدلاً من لفظ التقادم اتباعاً لأحكام الشريعة الإسلامية التي لا تعرف انقضاء الحقوق بمرور الزمان مهما طال، وإنما </w:t>
      </w:r>
      <w:r w:rsidR="00286DB0" w:rsidRPr="00A332AA">
        <w:rPr>
          <w:rFonts w:ascii="Traditional Arabic" w:eastAsia="Calibri" w:hAnsi="Traditional Arabic" w:cs="Traditional Arabic"/>
          <w:sz w:val="40"/>
          <w:szCs w:val="40"/>
          <w:rtl/>
        </w:rPr>
        <w:t>تمنع سماع الدعوى بغية وضع حد للمنازعات</w:t>
      </w:r>
      <w:r w:rsidR="00594177" w:rsidRPr="00A332AA">
        <w:rPr>
          <w:rFonts w:ascii="Traditional Arabic" w:eastAsia="Calibri" w:hAnsi="Traditional Arabic" w:cs="Traditional Arabic" w:hint="cs"/>
          <w:sz w:val="40"/>
          <w:szCs w:val="40"/>
          <w:rtl/>
        </w:rPr>
        <w:t>.</w:t>
      </w:r>
    </w:p>
    <w:p w14:paraId="262BFC40" w14:textId="0910C485" w:rsidR="00286DB0" w:rsidRPr="004E4E70" w:rsidRDefault="00A332AA" w:rsidP="00A332AA">
      <w:pPr>
        <w:spacing w:after="240" w:line="360" w:lineRule="auto"/>
        <w:jc w:val="both"/>
        <w:rPr>
          <w:rFonts w:ascii="Traditional Arabic" w:eastAsia="Calibri" w:hAnsi="Traditional Arabic" w:cs="Traditional Arabic"/>
          <w:sz w:val="40"/>
          <w:szCs w:val="40"/>
        </w:rPr>
      </w:pPr>
      <w:r w:rsidRPr="00A332AA">
        <w:rPr>
          <w:rFonts w:ascii="Traditional Arabic" w:eastAsia="Calibri" w:hAnsi="Traditional Arabic" w:cs="Traditional Arabic" w:hint="cs"/>
          <w:sz w:val="40"/>
          <w:szCs w:val="40"/>
          <w:rtl/>
        </w:rPr>
        <w:t>4-</w:t>
      </w:r>
      <w:r w:rsidR="00286DB0" w:rsidRPr="00A332AA">
        <w:rPr>
          <w:rFonts w:ascii="Traditional Arabic" w:eastAsia="Calibri" w:hAnsi="Traditional Arabic" w:cs="Traditional Arabic"/>
          <w:sz w:val="40"/>
          <w:szCs w:val="40"/>
          <w:rtl/>
        </w:rPr>
        <w:t>نظام الشركات الصادر بالمرسوم</w:t>
      </w:r>
      <w:r w:rsidR="00286DB0" w:rsidRPr="00C406BC">
        <w:rPr>
          <w:rFonts w:ascii="Traditional Arabic" w:eastAsia="Calibri" w:hAnsi="Traditional Arabic" w:cs="Traditional Arabic"/>
          <w:sz w:val="40"/>
          <w:szCs w:val="40"/>
          <w:rtl/>
        </w:rPr>
        <w:t xml:space="preserve"> الملكي رقم </w:t>
      </w:r>
      <w:r w:rsidR="003F0A5B">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م/6</w:t>
      </w:r>
      <w:r w:rsidR="003F0A5B">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وتاريخ 22/3/1385 هـ و</w:t>
      </w:r>
      <w:r w:rsidR="003F0A5B">
        <w:rPr>
          <w:rFonts w:ascii="Traditional Arabic" w:eastAsia="Calibri" w:hAnsi="Traditional Arabic" w:cs="Traditional Arabic" w:hint="cs"/>
          <w:sz w:val="40"/>
          <w:szCs w:val="40"/>
          <w:rtl/>
        </w:rPr>
        <w:t xml:space="preserve">هو </w:t>
      </w:r>
      <w:r w:rsidR="00286DB0" w:rsidRPr="00C406BC">
        <w:rPr>
          <w:rFonts w:ascii="Traditional Arabic" w:eastAsia="Calibri" w:hAnsi="Traditional Arabic" w:cs="Traditional Arabic"/>
          <w:sz w:val="40"/>
          <w:szCs w:val="40"/>
          <w:rtl/>
        </w:rPr>
        <w:t>المعدل بالمرسومين الملكيين رقم</w:t>
      </w:r>
      <w:r w:rsidR="003F0A5B">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w:t>
      </w:r>
      <w:r w:rsidR="00B53384">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م/</w:t>
      </w:r>
      <w:r w:rsidR="000F001F" w:rsidRPr="00C406BC">
        <w:rPr>
          <w:rFonts w:ascii="Traditional Arabic" w:eastAsia="Calibri" w:hAnsi="Traditional Arabic" w:cs="Traditional Arabic" w:hint="cs"/>
          <w:sz w:val="40"/>
          <w:szCs w:val="40"/>
          <w:rtl/>
        </w:rPr>
        <w:t>5)</w:t>
      </w:r>
      <w:r w:rsidR="00B53384">
        <w:rPr>
          <w:rFonts w:ascii="Traditional Arabic" w:eastAsia="Calibri" w:hAnsi="Traditional Arabic" w:cs="Traditional Arabic" w:hint="cs"/>
          <w:sz w:val="40"/>
          <w:szCs w:val="40"/>
          <w:rtl/>
        </w:rPr>
        <w:t xml:space="preserve">، </w:t>
      </w:r>
      <w:r w:rsidR="00286DB0" w:rsidRPr="00C406BC">
        <w:rPr>
          <w:rFonts w:ascii="Traditional Arabic" w:eastAsia="Calibri" w:hAnsi="Traditional Arabic" w:cs="Traditional Arabic"/>
          <w:sz w:val="40"/>
          <w:szCs w:val="40"/>
          <w:rtl/>
        </w:rPr>
        <w:t xml:space="preserve">وتاريخ 12/3/1387 </w:t>
      </w:r>
      <w:r w:rsidR="000F001F" w:rsidRPr="00C406BC">
        <w:rPr>
          <w:rFonts w:ascii="Traditional Arabic" w:eastAsia="Calibri" w:hAnsi="Traditional Arabic" w:cs="Traditional Arabic" w:hint="cs"/>
          <w:sz w:val="40"/>
          <w:szCs w:val="40"/>
          <w:rtl/>
        </w:rPr>
        <w:t>هـ، ورقم</w:t>
      </w:r>
      <w:r w:rsidR="00286DB0" w:rsidRPr="00C406BC">
        <w:rPr>
          <w:rFonts w:ascii="Traditional Arabic" w:eastAsia="Calibri" w:hAnsi="Traditional Arabic" w:cs="Traditional Arabic"/>
          <w:sz w:val="40"/>
          <w:szCs w:val="40"/>
          <w:rtl/>
        </w:rPr>
        <w:t xml:space="preserve"> </w:t>
      </w:r>
      <w:r w:rsidR="00B53384">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م/23</w:t>
      </w:r>
      <w:r w:rsidR="00B53384">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وتاريخ 28/6/1402 هـ، والذي نص في المادة 226 على أنه</w:t>
      </w:r>
      <w:r w:rsidR="00072659">
        <w:rPr>
          <w:rFonts w:ascii="Traditional Arabic" w:eastAsia="Calibri" w:hAnsi="Traditional Arabic" w:cs="Traditional Arabic" w:hint="cs"/>
          <w:sz w:val="40"/>
          <w:szCs w:val="40"/>
          <w:rtl/>
        </w:rPr>
        <w:t xml:space="preserve"> </w:t>
      </w:r>
      <w:r w:rsidR="00286DB0" w:rsidRPr="00C406BC">
        <w:rPr>
          <w:rFonts w:ascii="Traditional Arabic" w:eastAsia="Calibri" w:hAnsi="Traditional Arabic" w:cs="Traditional Arabic"/>
          <w:sz w:val="40"/>
          <w:szCs w:val="40"/>
          <w:rtl/>
        </w:rPr>
        <w:t xml:space="preserve">لا تسمع الدعوى ضد المصفين بسبب أعمال التصفية بعد انقضاء ثلاث سنوات على إشهار انتهاء التصفية وفقاً لأحكام المادة 223، </w:t>
      </w:r>
      <w:r w:rsidR="00286DB0" w:rsidRPr="00C406BC">
        <w:rPr>
          <w:rFonts w:ascii="Traditional Arabic" w:eastAsia="Calibri" w:hAnsi="Traditional Arabic" w:cs="Traditional Arabic"/>
          <w:sz w:val="40"/>
          <w:szCs w:val="40"/>
          <w:rtl/>
        </w:rPr>
        <w:lastRenderedPageBreak/>
        <w:t>ولا تسمع الدعوى بعد انقضاء المدة المذكورة ضد الشركاء بسبب أعمال الشركة</w:t>
      </w:r>
      <w:r w:rsidR="00072659">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ضد </w:t>
      </w:r>
      <w:r w:rsidR="00286DB0" w:rsidRPr="004E4E70">
        <w:rPr>
          <w:rFonts w:ascii="Traditional Arabic" w:eastAsia="Calibri" w:hAnsi="Traditional Arabic" w:cs="Traditional Arabic"/>
          <w:sz w:val="40"/>
          <w:szCs w:val="40"/>
          <w:rtl/>
        </w:rPr>
        <w:t>المديرين، أو أعضاء مجلس الإدارة، أو مـراقبـي الحسابات، بسبب أعمال وظائفهم</w:t>
      </w:r>
      <w:r w:rsidR="00072659" w:rsidRPr="004E4E70">
        <w:rPr>
          <w:rFonts w:ascii="Traditional Arabic" w:eastAsia="Calibri" w:hAnsi="Traditional Arabic" w:cs="Traditional Arabic" w:hint="cs"/>
          <w:sz w:val="40"/>
          <w:szCs w:val="40"/>
          <w:rtl/>
        </w:rPr>
        <w:t>.</w:t>
      </w:r>
    </w:p>
    <w:p w14:paraId="3C02737F" w14:textId="36C11A9A" w:rsidR="00286DB0" w:rsidRPr="00C406BC" w:rsidRDefault="004E4E70" w:rsidP="0068398F">
      <w:pPr>
        <w:spacing w:after="240" w:line="360" w:lineRule="auto"/>
        <w:jc w:val="both"/>
        <w:rPr>
          <w:rFonts w:ascii="Traditional Arabic" w:eastAsia="Calibri" w:hAnsi="Traditional Arabic" w:cs="Traditional Arabic"/>
          <w:sz w:val="40"/>
          <w:szCs w:val="40"/>
        </w:rPr>
      </w:pPr>
      <w:r w:rsidRPr="004E4E70">
        <w:rPr>
          <w:rFonts w:ascii="Traditional Arabic" w:eastAsia="Calibri" w:hAnsi="Traditional Arabic" w:cs="Traditional Arabic" w:hint="cs"/>
          <w:sz w:val="40"/>
          <w:szCs w:val="40"/>
          <w:rtl/>
        </w:rPr>
        <w:t>5-</w:t>
      </w:r>
      <w:r w:rsidR="00286DB0" w:rsidRPr="004E4E70">
        <w:rPr>
          <w:rFonts w:ascii="Traditional Arabic" w:eastAsia="Calibri" w:hAnsi="Traditional Arabic" w:cs="Traditional Arabic"/>
          <w:sz w:val="40"/>
          <w:szCs w:val="40"/>
          <w:rtl/>
        </w:rPr>
        <w:t>تعميم وزير العدل</w:t>
      </w:r>
      <w:r w:rsidR="00286DB0" w:rsidRPr="00C406BC">
        <w:rPr>
          <w:rFonts w:ascii="Traditional Arabic" w:eastAsia="Calibri" w:hAnsi="Traditional Arabic" w:cs="Traditional Arabic"/>
          <w:sz w:val="40"/>
          <w:szCs w:val="40"/>
          <w:rtl/>
        </w:rPr>
        <w:t xml:space="preserve"> رقم</w:t>
      </w:r>
      <w:r w:rsidR="0068398F">
        <w:rPr>
          <w:rFonts w:ascii="Traditional Arabic" w:eastAsia="Calibri" w:hAnsi="Traditional Arabic" w:cs="Traditional Arabic" w:hint="cs"/>
          <w:sz w:val="40"/>
          <w:szCs w:val="40"/>
          <w:rtl/>
        </w:rPr>
        <w:t xml:space="preserve">: </w:t>
      </w:r>
      <w:r w:rsidR="000F001F">
        <w:rPr>
          <w:rFonts w:ascii="Traditional Arabic" w:eastAsia="Calibri" w:hAnsi="Traditional Arabic" w:cs="Traditional Arabic" w:hint="cs"/>
          <w:sz w:val="40"/>
          <w:szCs w:val="40"/>
          <w:rtl/>
        </w:rPr>
        <w:t>(</w:t>
      </w:r>
      <w:r w:rsidR="000F001F" w:rsidRPr="00C406BC">
        <w:rPr>
          <w:rFonts w:ascii="Traditional Arabic" w:eastAsia="Calibri" w:hAnsi="Traditional Arabic" w:cs="Traditional Arabic" w:hint="cs"/>
          <w:sz w:val="40"/>
          <w:szCs w:val="40"/>
          <w:rtl/>
        </w:rPr>
        <w:t>81</w:t>
      </w:r>
      <w:r w:rsidR="0068398F">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في 20/8/1381 هـ، الخاص بحالة الادعاء في عين تكون تحت حيازة شخص آخر لمدة طويلة</w:t>
      </w:r>
      <w:r w:rsidR="00BB5A71">
        <w:rPr>
          <w:rFonts w:ascii="Traditional Arabic" w:eastAsia="Calibri" w:hAnsi="Traditional Arabic" w:cs="Traditional Arabic" w:hint="cs"/>
          <w:sz w:val="40"/>
          <w:szCs w:val="40"/>
          <w:rtl/>
        </w:rPr>
        <w:t>، هذا</w:t>
      </w:r>
      <w:r w:rsidR="00A1288B">
        <w:rPr>
          <w:rFonts w:ascii="Traditional Arabic" w:eastAsia="Calibri" w:hAnsi="Traditional Arabic" w:cs="Traditional Arabic" w:hint="cs"/>
          <w:sz w:val="40"/>
          <w:szCs w:val="40"/>
          <w:rtl/>
        </w:rPr>
        <w:t xml:space="preserve">، </w:t>
      </w:r>
      <w:r w:rsidR="00286DB0" w:rsidRPr="00C406BC">
        <w:rPr>
          <w:rFonts w:ascii="Traditional Arabic" w:eastAsia="Calibri" w:hAnsi="Traditional Arabic" w:cs="Traditional Arabic"/>
          <w:sz w:val="40"/>
          <w:szCs w:val="40"/>
          <w:rtl/>
        </w:rPr>
        <w:t>وبناء على ما تقدم، فإن نظام الأوراق التجارية السعودي يكون بذلك قد أخذ بقاعدة المنع من سماع الدعوى طبقاً لما يراه فقهاء المالكية</w:t>
      </w:r>
      <w:r w:rsidR="001C522B">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والحنفية</w:t>
      </w:r>
      <w:r w:rsidR="001C522B">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وبعض فقهاء الحنابلة</w:t>
      </w:r>
      <w:r w:rsidR="001C522B">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كما أن ذلك الإجراء يدخل تحت سلطة ولي الأمر من جهة تخصيص القضاء في الزمان</w:t>
      </w:r>
      <w:r w:rsidR="001C522B">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والمكان</w:t>
      </w:r>
      <w:r w:rsidR="001C522B">
        <w:rPr>
          <w:rFonts w:ascii="Traditional Arabic" w:eastAsia="Calibri" w:hAnsi="Traditional Arabic" w:cs="Traditional Arabic" w:hint="cs"/>
          <w:sz w:val="40"/>
          <w:szCs w:val="40"/>
          <w:rtl/>
        </w:rPr>
        <w:t xml:space="preserve">، </w:t>
      </w:r>
      <w:r w:rsidR="00286DB0" w:rsidRPr="00C406BC">
        <w:rPr>
          <w:rFonts w:ascii="Traditional Arabic" w:eastAsia="Calibri" w:hAnsi="Traditional Arabic" w:cs="Traditional Arabic"/>
          <w:sz w:val="40"/>
          <w:szCs w:val="40"/>
          <w:rtl/>
        </w:rPr>
        <w:t>المقررة في الفقه الحنبلي</w:t>
      </w:r>
      <w:r w:rsidR="00286DB0" w:rsidRPr="00C406BC">
        <w:rPr>
          <w:rFonts w:ascii="Traditional Arabic" w:eastAsia="Calibri" w:hAnsi="Traditional Arabic" w:cs="Traditional Arabic"/>
          <w:sz w:val="40"/>
          <w:szCs w:val="40"/>
        </w:rPr>
        <w:t>.</w:t>
      </w:r>
    </w:p>
    <w:p w14:paraId="45159067" w14:textId="26724754" w:rsidR="00286DB0" w:rsidRPr="000F001F" w:rsidRDefault="000F001F" w:rsidP="00C406BC">
      <w:pPr>
        <w:spacing w:after="240" w:line="360" w:lineRule="auto"/>
        <w:jc w:val="both"/>
        <w:rPr>
          <w:rFonts w:ascii="Traditional Arabic" w:eastAsia="Calibri" w:hAnsi="Traditional Arabic" w:cs="Traditional Arabic"/>
          <w:sz w:val="40"/>
          <w:szCs w:val="40"/>
          <w:rtl/>
        </w:rPr>
      </w:pPr>
      <w:r w:rsidRPr="000F001F">
        <w:rPr>
          <w:rFonts w:ascii="Traditional Arabic" w:eastAsia="Calibri" w:hAnsi="Traditional Arabic" w:cs="Traditional Arabic" w:hint="cs"/>
          <w:sz w:val="40"/>
          <w:szCs w:val="40"/>
          <w:rtl/>
        </w:rPr>
        <w:t xml:space="preserve">الفرع الثالث: </w:t>
      </w:r>
      <w:r w:rsidR="00286DB0" w:rsidRPr="000F001F">
        <w:rPr>
          <w:rFonts w:ascii="Traditional Arabic" w:eastAsia="Calibri" w:hAnsi="Traditional Arabic" w:cs="Traditional Arabic"/>
          <w:sz w:val="40"/>
          <w:szCs w:val="40"/>
          <w:rtl/>
        </w:rPr>
        <w:t>مدة التقادم في النظام السعودي</w:t>
      </w:r>
      <w:r w:rsidR="00286DB0" w:rsidRPr="000F001F">
        <w:rPr>
          <w:rFonts w:ascii="Traditional Arabic" w:eastAsia="Calibri" w:hAnsi="Traditional Arabic" w:cs="Traditional Arabic"/>
          <w:sz w:val="40"/>
          <w:szCs w:val="40"/>
        </w:rPr>
        <w:t>:</w:t>
      </w:r>
    </w:p>
    <w:p w14:paraId="6A2E22B6" w14:textId="0F706EE2" w:rsidR="001C522B" w:rsidRPr="00C406BC" w:rsidRDefault="001C522B" w:rsidP="00C406BC">
      <w:pPr>
        <w:spacing w:after="240" w:line="360" w:lineRule="auto"/>
        <w:jc w:val="both"/>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t>سوف يقوم الباحث في هذا الجزء من البحث ببيان مدة التقادم في النظام السعودي، وذلك على النحو الآتي:</w:t>
      </w:r>
    </w:p>
    <w:p w14:paraId="6751865F" w14:textId="1546FF01" w:rsidR="00286DB0" w:rsidRPr="00C406BC" w:rsidRDefault="001C522B" w:rsidP="001C522B">
      <w:pPr>
        <w:spacing w:after="240" w:line="360" w:lineRule="auto"/>
        <w:jc w:val="both"/>
        <w:rPr>
          <w:rFonts w:ascii="Traditional Arabic" w:eastAsia="Calibri" w:hAnsi="Traditional Arabic" w:cs="Traditional Arabic"/>
          <w:sz w:val="40"/>
          <w:szCs w:val="40"/>
        </w:rPr>
      </w:pPr>
      <w:r w:rsidRPr="001C522B">
        <w:rPr>
          <w:rFonts w:ascii="Traditional Arabic" w:eastAsia="Calibri" w:hAnsi="Traditional Arabic" w:cs="Traditional Arabic" w:hint="cs"/>
          <w:sz w:val="40"/>
          <w:szCs w:val="40"/>
          <w:rtl/>
        </w:rPr>
        <w:t>1-</w:t>
      </w:r>
      <w:r w:rsidR="00286DB0" w:rsidRPr="001C522B">
        <w:rPr>
          <w:rFonts w:ascii="Traditional Arabic" w:eastAsia="Calibri" w:hAnsi="Traditional Arabic" w:cs="Traditional Arabic"/>
          <w:sz w:val="40"/>
          <w:szCs w:val="40"/>
          <w:rtl/>
        </w:rPr>
        <w:t>التقادم في الأوراق التجارية</w:t>
      </w:r>
      <w:r w:rsidR="00286DB0" w:rsidRPr="001C522B">
        <w:rPr>
          <w:rFonts w:ascii="Traditional Arabic" w:eastAsia="Calibri" w:hAnsi="Traditional Arabic" w:cs="Traditional Arabic"/>
          <w:sz w:val="40"/>
          <w:szCs w:val="40"/>
        </w:rPr>
        <w:t>:</w:t>
      </w:r>
    </w:p>
    <w:p w14:paraId="3D9CEB3D" w14:textId="33FDB101" w:rsidR="00286DB0" w:rsidRPr="00C406BC" w:rsidRDefault="001C522B" w:rsidP="00C406BC">
      <w:pPr>
        <w:spacing w:after="240" w:line="360" w:lineRule="auto"/>
        <w:ind w:firstLine="720"/>
        <w:jc w:val="both"/>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t>قرر</w:t>
      </w:r>
      <w:r w:rsidR="00286DB0" w:rsidRPr="00C406BC">
        <w:rPr>
          <w:rFonts w:ascii="Traditional Arabic" w:eastAsia="Calibri" w:hAnsi="Traditional Arabic" w:cs="Traditional Arabic"/>
          <w:sz w:val="40"/>
          <w:szCs w:val="40"/>
          <w:rtl/>
        </w:rPr>
        <w:t xml:space="preserve"> نظام الأوراق التجارية السعودي</w:t>
      </w:r>
      <w:r>
        <w:rPr>
          <w:rFonts w:ascii="Traditional Arabic" w:eastAsia="Calibri" w:hAnsi="Traditional Arabic" w:cs="Traditional Arabic" w:hint="cs"/>
          <w:sz w:val="40"/>
          <w:szCs w:val="40"/>
          <w:rtl/>
        </w:rPr>
        <w:t xml:space="preserve"> أنه ي</w:t>
      </w:r>
      <w:r w:rsidR="00286DB0" w:rsidRPr="00C406BC">
        <w:rPr>
          <w:rFonts w:ascii="Traditional Arabic" w:eastAsia="Calibri" w:hAnsi="Traditional Arabic" w:cs="Traditional Arabic"/>
          <w:sz w:val="40"/>
          <w:szCs w:val="40"/>
          <w:rtl/>
        </w:rPr>
        <w:t xml:space="preserve">سقط حق حامل الشيك في المطالبة بقيمته إذا لم </w:t>
      </w:r>
      <w:r w:rsidR="00DB3B7F">
        <w:rPr>
          <w:rFonts w:ascii="Traditional Arabic" w:eastAsia="Calibri" w:hAnsi="Traditional Arabic" w:cs="Traditional Arabic" w:hint="cs"/>
          <w:sz w:val="40"/>
          <w:szCs w:val="40"/>
          <w:rtl/>
        </w:rPr>
        <w:t>تُ</w:t>
      </w:r>
      <w:r>
        <w:rPr>
          <w:rFonts w:ascii="Traditional Arabic" w:eastAsia="Calibri" w:hAnsi="Traditional Arabic" w:cs="Traditional Arabic" w:hint="cs"/>
          <w:sz w:val="40"/>
          <w:szCs w:val="40"/>
          <w:rtl/>
        </w:rPr>
        <w:t>تخذ</w:t>
      </w:r>
      <w:r w:rsidR="00286DB0" w:rsidRPr="00C406BC">
        <w:rPr>
          <w:rFonts w:ascii="Traditional Arabic" w:eastAsia="Calibri" w:hAnsi="Traditional Arabic" w:cs="Traditional Arabic"/>
          <w:sz w:val="40"/>
          <w:szCs w:val="40"/>
          <w:rtl/>
        </w:rPr>
        <w:t xml:space="preserve"> الإجراءات القانونية خلال ثلاث سنوات من تاريخ استحقاق الشيك</w:t>
      </w:r>
      <w:r w:rsidR="00DB3B7F">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w:t>
      </w:r>
      <w:r w:rsidR="00DB3B7F">
        <w:rPr>
          <w:rFonts w:ascii="Traditional Arabic" w:eastAsia="Calibri" w:hAnsi="Traditional Arabic" w:cs="Traditional Arabic" w:hint="cs"/>
          <w:sz w:val="40"/>
          <w:szCs w:val="40"/>
          <w:rtl/>
        </w:rPr>
        <w:t>و</w:t>
      </w:r>
      <w:r w:rsidR="00286DB0" w:rsidRPr="00C406BC">
        <w:rPr>
          <w:rFonts w:ascii="Traditional Arabic" w:eastAsia="Calibri" w:hAnsi="Traditional Arabic" w:cs="Traditional Arabic"/>
          <w:sz w:val="40"/>
          <w:szCs w:val="40"/>
          <w:rtl/>
        </w:rPr>
        <w:t xml:space="preserve">هذه المدة </w:t>
      </w:r>
      <w:r w:rsidR="00286DB0" w:rsidRPr="00C406BC">
        <w:rPr>
          <w:rFonts w:ascii="Traditional Arabic" w:eastAsia="Calibri" w:hAnsi="Traditional Arabic" w:cs="Traditional Arabic"/>
          <w:sz w:val="40"/>
          <w:szCs w:val="40"/>
          <w:rtl/>
        </w:rPr>
        <w:lastRenderedPageBreak/>
        <w:t>تهدف إلى ضمان استقرار المعاملات المالية</w:t>
      </w:r>
      <w:r w:rsidR="00DB3B7F">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والحد من النزاعات القضائية التي قد تنشأ بعد مرور فترة طويلة من الزمن، والأساس الشرعي للتقادم في الأوراق التجارية</w:t>
      </w:r>
      <w:r w:rsidR="00286DB0" w:rsidRPr="00C406BC">
        <w:rPr>
          <w:rFonts w:ascii="Traditional Arabic" w:eastAsia="Calibri" w:hAnsi="Traditional Arabic" w:cs="Traditional Arabic"/>
          <w:sz w:val="40"/>
          <w:szCs w:val="40"/>
        </w:rPr>
        <w:t xml:space="preserve"> </w:t>
      </w:r>
      <w:r w:rsidR="00286DB0" w:rsidRPr="00C406BC">
        <w:rPr>
          <w:rFonts w:ascii="Traditional Arabic" w:eastAsia="Calibri" w:hAnsi="Traditional Arabic" w:cs="Traditional Arabic"/>
          <w:sz w:val="40"/>
          <w:szCs w:val="40"/>
          <w:rtl/>
        </w:rPr>
        <w:t xml:space="preserve">في النظام السعودي، يعتمد </w:t>
      </w:r>
      <w:r w:rsidR="00DB3B7F">
        <w:rPr>
          <w:rFonts w:ascii="Traditional Arabic" w:eastAsia="Calibri" w:hAnsi="Traditional Arabic" w:cs="Traditional Arabic" w:hint="cs"/>
          <w:sz w:val="40"/>
          <w:szCs w:val="40"/>
          <w:rtl/>
        </w:rPr>
        <w:t>كما مر قريبا</w:t>
      </w:r>
      <w:r w:rsidR="00286DB0" w:rsidRPr="00C406BC">
        <w:rPr>
          <w:rFonts w:ascii="Traditional Arabic" w:eastAsia="Calibri" w:hAnsi="Traditional Arabic" w:cs="Traditional Arabic"/>
          <w:sz w:val="40"/>
          <w:szCs w:val="40"/>
          <w:rtl/>
        </w:rPr>
        <w:t xml:space="preserve"> على مبادئ الشريعة الإسلامية التي تهدف إلى تحقيق العدالة</w:t>
      </w:r>
      <w:r w:rsidR="00DB3B7F">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واستقرار المعاملات</w:t>
      </w:r>
      <w:r w:rsidR="00DB3B7F">
        <w:rPr>
          <w:rFonts w:ascii="Traditional Arabic" w:eastAsia="Calibri" w:hAnsi="Traditional Arabic" w:cs="Traditional Arabic" w:hint="cs"/>
          <w:sz w:val="40"/>
          <w:szCs w:val="40"/>
          <w:rtl/>
        </w:rPr>
        <w:t xml:space="preserve">، كما </w:t>
      </w:r>
      <w:r w:rsidR="00286DB0" w:rsidRPr="00C406BC">
        <w:rPr>
          <w:rFonts w:ascii="Traditional Arabic" w:eastAsia="Calibri" w:hAnsi="Traditional Arabic" w:cs="Traditional Arabic"/>
          <w:sz w:val="40"/>
          <w:szCs w:val="40"/>
          <w:rtl/>
        </w:rPr>
        <w:t>يعتبر التقادم وسيلة لتنظيم الديون</w:t>
      </w:r>
      <w:r w:rsidR="00DB3B7F">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والمطالبات المالية، وحماية المدينين من المطالبات القديمة، التي قد يصعب إثباتها بعد مرور وقت طويل، وفي النظام السعودي، </w:t>
      </w:r>
      <w:r w:rsidR="00DB3B7F">
        <w:rPr>
          <w:rFonts w:ascii="Traditional Arabic" w:eastAsia="Calibri" w:hAnsi="Traditional Arabic" w:cs="Traditional Arabic" w:hint="cs"/>
          <w:sz w:val="40"/>
          <w:szCs w:val="40"/>
          <w:rtl/>
        </w:rPr>
        <w:t>و</w:t>
      </w:r>
      <w:r w:rsidR="00286DB0" w:rsidRPr="00C406BC">
        <w:rPr>
          <w:rFonts w:ascii="Traditional Arabic" w:eastAsia="Calibri" w:hAnsi="Traditional Arabic" w:cs="Traditional Arabic"/>
          <w:sz w:val="40"/>
          <w:szCs w:val="40"/>
          <w:rtl/>
        </w:rPr>
        <w:t>يسقط حق حامل الشيك في المطالبة بقيمته إذا لم يتخذ الإجراءات القانونية اللازمة خلال ثلاث سنوات من تاريخ الاستحقاق، وهذه المدة المحددة تهدف إلى ضمان استقرار المعاملات المالية</w:t>
      </w:r>
      <w:r w:rsidR="00DB3B7F">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والحد من النزاعات القضائية التي قد تنشأ بسبب المطالبات المتأخرة</w:t>
      </w:r>
      <w:r w:rsidR="00286DB0" w:rsidRPr="00C406BC">
        <w:rPr>
          <w:rFonts w:ascii="Traditional Arabic" w:eastAsia="Calibri" w:hAnsi="Traditional Arabic" w:cs="Traditional Arabic"/>
          <w:sz w:val="40"/>
          <w:szCs w:val="40"/>
        </w:rPr>
        <w:t>.</w:t>
      </w:r>
      <w:r w:rsidR="00286DB0" w:rsidRPr="00C406BC">
        <w:rPr>
          <w:rFonts w:ascii="Traditional Arabic" w:eastAsia="Calibri" w:hAnsi="Traditional Arabic" w:cs="Traditional Arabic"/>
          <w:sz w:val="40"/>
          <w:szCs w:val="40"/>
          <w:vertAlign w:val="superscript"/>
        </w:rPr>
        <w:footnoteReference w:id="32"/>
      </w:r>
    </w:p>
    <w:p w14:paraId="47F95F3F" w14:textId="3364D80A" w:rsidR="00286DB0" w:rsidRPr="00C406BC" w:rsidRDefault="00DB3B7F" w:rsidP="00C406BC">
      <w:pPr>
        <w:spacing w:after="240" w:line="360" w:lineRule="auto"/>
        <w:ind w:firstLine="720"/>
        <w:jc w:val="both"/>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t xml:space="preserve">إن </w:t>
      </w:r>
      <w:r w:rsidR="00286DB0" w:rsidRPr="00C406BC">
        <w:rPr>
          <w:rFonts w:ascii="Traditional Arabic" w:eastAsia="Calibri" w:hAnsi="Traditional Arabic" w:cs="Traditional Arabic"/>
          <w:sz w:val="40"/>
          <w:szCs w:val="40"/>
          <w:rtl/>
        </w:rPr>
        <w:t>أثر التقادم في الأوراق التجارية يكون بسقوط الحق</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فبعد مرور مدة التقادم المحددة، يسقط حق حامل الشيك في المطالبة بقيمته، ولا يمكن المطالبة بها قضائيًا، و</w:t>
      </w:r>
      <w:r w:rsidR="00026EB2">
        <w:rPr>
          <w:rFonts w:ascii="Traditional Arabic" w:eastAsia="Calibri" w:hAnsi="Traditional Arabic" w:cs="Traditional Arabic" w:hint="cs"/>
          <w:sz w:val="40"/>
          <w:szCs w:val="40"/>
          <w:rtl/>
        </w:rPr>
        <w:t xml:space="preserve">الهدف </w:t>
      </w:r>
      <w:r w:rsidR="0079715B">
        <w:rPr>
          <w:rFonts w:ascii="Traditional Arabic" w:eastAsia="Calibri" w:hAnsi="Traditional Arabic" w:cs="Traditional Arabic" w:hint="cs"/>
          <w:sz w:val="40"/>
          <w:szCs w:val="40"/>
          <w:rtl/>
        </w:rPr>
        <w:t xml:space="preserve">من ذلك هو </w:t>
      </w:r>
      <w:r w:rsidR="00286DB0" w:rsidRPr="00C406BC">
        <w:rPr>
          <w:rFonts w:ascii="Traditional Arabic" w:eastAsia="Calibri" w:hAnsi="Traditional Arabic" w:cs="Traditional Arabic"/>
          <w:sz w:val="40"/>
          <w:szCs w:val="40"/>
          <w:rtl/>
        </w:rPr>
        <w:t>استقرار المعاملات</w:t>
      </w:r>
      <w:r w:rsidR="0079715B">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فيساهم</w:t>
      </w:r>
      <w:r w:rsidR="0052088B">
        <w:rPr>
          <w:rFonts w:ascii="Traditional Arabic" w:eastAsia="Calibri" w:hAnsi="Traditional Arabic" w:cs="Traditional Arabic" w:hint="cs"/>
          <w:sz w:val="40"/>
          <w:szCs w:val="40"/>
          <w:rtl/>
        </w:rPr>
        <w:t xml:space="preserve"> إعمال أثر</w:t>
      </w:r>
      <w:r w:rsidR="00286DB0" w:rsidRPr="00C406BC">
        <w:rPr>
          <w:rFonts w:ascii="Traditional Arabic" w:eastAsia="Calibri" w:hAnsi="Traditional Arabic" w:cs="Traditional Arabic"/>
          <w:sz w:val="40"/>
          <w:szCs w:val="40"/>
          <w:rtl/>
        </w:rPr>
        <w:t xml:space="preserve"> التقادم في تحقيق استقرار المعاملات المالية، حيث يحد من النزاعات التي قد تنشأ بسبب المطالبات القديمة</w:t>
      </w:r>
      <w:r w:rsidR="0052088B">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ويعزز من اليقظة في متابعة الحقوق </w:t>
      </w:r>
      <w:r w:rsidR="00286DB0" w:rsidRPr="00C406BC">
        <w:rPr>
          <w:rFonts w:ascii="Traditional Arabic" w:eastAsia="Calibri" w:hAnsi="Traditional Arabic" w:cs="Traditional Arabic"/>
          <w:sz w:val="40"/>
          <w:szCs w:val="40"/>
          <w:rtl/>
        </w:rPr>
        <w:lastRenderedPageBreak/>
        <w:t xml:space="preserve">المالية، ويجب على حامل الشيك اتخاذ الإجراءات القانونية اللازمة للمطالبة بقيمته قبل انقضاء مدة التقادم المحددة </w:t>
      </w:r>
      <w:r w:rsidR="0052088B">
        <w:rPr>
          <w:rFonts w:ascii="Traditional Arabic" w:eastAsia="Calibri" w:hAnsi="Traditional Arabic" w:cs="Traditional Arabic" w:hint="cs"/>
          <w:sz w:val="40"/>
          <w:szCs w:val="40"/>
          <w:rtl/>
        </w:rPr>
        <w:t>ب</w:t>
      </w:r>
      <w:r w:rsidR="00286DB0" w:rsidRPr="00C406BC">
        <w:rPr>
          <w:rFonts w:ascii="Traditional Arabic" w:eastAsia="Calibri" w:hAnsi="Traditional Arabic" w:cs="Traditional Arabic"/>
          <w:sz w:val="40"/>
          <w:szCs w:val="40"/>
          <w:rtl/>
        </w:rPr>
        <w:t>ثلاث سنوات</w:t>
      </w:r>
      <w:r w:rsidR="0042114E">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w:t>
      </w:r>
      <w:r w:rsidR="0042114E">
        <w:rPr>
          <w:rFonts w:ascii="Traditional Arabic" w:eastAsia="Calibri" w:hAnsi="Traditional Arabic" w:cs="Traditional Arabic" w:hint="cs"/>
          <w:sz w:val="40"/>
          <w:szCs w:val="40"/>
          <w:rtl/>
        </w:rPr>
        <w:t>و</w:t>
      </w:r>
      <w:r w:rsidR="00286DB0" w:rsidRPr="00C406BC">
        <w:rPr>
          <w:rFonts w:ascii="Traditional Arabic" w:eastAsia="Calibri" w:hAnsi="Traditional Arabic" w:cs="Traditional Arabic"/>
          <w:sz w:val="40"/>
          <w:szCs w:val="40"/>
          <w:rtl/>
        </w:rPr>
        <w:t xml:space="preserve">تشمل هذه الإجراءات تقديم الشيك إلى البنك للتسديد، ورفع دعوى قضائية إذا لم يتم الدفع، وفي حال لم يقم حامل الشيك بهذه الإجراءات ضمن المدة المحددة، </w:t>
      </w:r>
      <w:r w:rsidR="0042114E">
        <w:rPr>
          <w:rFonts w:ascii="Traditional Arabic" w:eastAsia="Calibri" w:hAnsi="Traditional Arabic" w:cs="Traditional Arabic" w:hint="cs"/>
          <w:sz w:val="40"/>
          <w:szCs w:val="40"/>
          <w:rtl/>
        </w:rPr>
        <w:t>ف</w:t>
      </w:r>
      <w:r w:rsidR="00286DB0" w:rsidRPr="00C406BC">
        <w:rPr>
          <w:rFonts w:ascii="Traditional Arabic" w:eastAsia="Calibri" w:hAnsi="Traditional Arabic" w:cs="Traditional Arabic"/>
          <w:sz w:val="40"/>
          <w:szCs w:val="40"/>
          <w:rtl/>
        </w:rPr>
        <w:t>يسقط حقه في المطالبة بالقيمة المالية للشيك، مما يعزز من استقرار المعاملات المالية</w:t>
      </w:r>
      <w:r w:rsidR="0042114E">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ويحد من المطالبات المتأخرة، وإذا كان حامل الشيك يمتلك شيكًا مستحق الدفع بتاريخ معين، ولم يقم بتقديمه للبنك</w:t>
      </w:r>
      <w:r w:rsidR="0042114E">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رفع دعوى قضائية للمطالبة بقيمته خلال ثلاث سنوات من تاريخ الاستحقاق، فإن حقه في المطالبة بقيمة الشيك يسقط بعد انقضاء هذه المدة</w:t>
      </w:r>
      <w:r w:rsidR="00286DB0" w:rsidRPr="00C406BC">
        <w:rPr>
          <w:rFonts w:ascii="Traditional Arabic" w:eastAsia="Calibri" w:hAnsi="Traditional Arabic" w:cs="Traditional Arabic"/>
          <w:sz w:val="40"/>
          <w:szCs w:val="40"/>
        </w:rPr>
        <w:t>.</w:t>
      </w:r>
      <w:r w:rsidR="00286DB0" w:rsidRPr="00C406BC">
        <w:rPr>
          <w:rFonts w:ascii="Traditional Arabic" w:eastAsia="Calibri" w:hAnsi="Traditional Arabic" w:cs="Traditional Arabic"/>
          <w:sz w:val="40"/>
          <w:szCs w:val="40"/>
          <w:vertAlign w:val="superscript"/>
        </w:rPr>
        <w:footnoteReference w:id="33"/>
      </w:r>
    </w:p>
    <w:p w14:paraId="44C7D6CB" w14:textId="20BDBE69" w:rsidR="00286DB0" w:rsidRPr="00CB2767" w:rsidRDefault="0042114E" w:rsidP="00C406BC">
      <w:pPr>
        <w:spacing w:after="240" w:line="360" w:lineRule="auto"/>
        <w:ind w:firstLine="720"/>
        <w:jc w:val="both"/>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t>و</w:t>
      </w:r>
      <w:r w:rsidR="00286DB0" w:rsidRPr="00C406BC">
        <w:rPr>
          <w:rFonts w:ascii="Traditional Arabic" w:eastAsia="Calibri" w:hAnsi="Traditional Arabic" w:cs="Traditional Arabic"/>
          <w:sz w:val="40"/>
          <w:szCs w:val="40"/>
          <w:rtl/>
        </w:rPr>
        <w:t>ب</w:t>
      </w:r>
      <w:r w:rsidR="00051C60">
        <w:rPr>
          <w:rFonts w:ascii="Traditional Arabic" w:eastAsia="Calibri" w:hAnsi="Traditional Arabic" w:cs="Traditional Arabic" w:hint="cs"/>
          <w:sz w:val="40"/>
          <w:szCs w:val="40"/>
          <w:rtl/>
        </w:rPr>
        <w:t>الجملة</w:t>
      </w:r>
      <w:r w:rsidR="00286DB0" w:rsidRPr="00C406BC">
        <w:rPr>
          <w:rFonts w:ascii="Traditional Arabic" w:eastAsia="Calibri" w:hAnsi="Traditional Arabic" w:cs="Traditional Arabic"/>
          <w:sz w:val="40"/>
          <w:szCs w:val="40"/>
          <w:rtl/>
        </w:rPr>
        <w:t>،</w:t>
      </w:r>
      <w:r w:rsidR="00051C60">
        <w:rPr>
          <w:rFonts w:ascii="Traditional Arabic" w:eastAsia="Calibri" w:hAnsi="Traditional Arabic" w:cs="Traditional Arabic" w:hint="cs"/>
          <w:sz w:val="40"/>
          <w:szCs w:val="40"/>
          <w:rtl/>
        </w:rPr>
        <w:t xml:space="preserve"> فإن</w:t>
      </w:r>
      <w:r w:rsidR="00286DB0" w:rsidRPr="00C406BC">
        <w:rPr>
          <w:rFonts w:ascii="Traditional Arabic" w:eastAsia="Calibri" w:hAnsi="Traditional Arabic" w:cs="Traditional Arabic"/>
          <w:sz w:val="40"/>
          <w:szCs w:val="40"/>
          <w:rtl/>
        </w:rPr>
        <w:t xml:space="preserve"> التقادم في الأوراق التجارية في النظام السعودي يعتمد على مبادئ الشريعة الإسلامية</w:t>
      </w:r>
      <w:r w:rsidR="00051C60">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ويهدف إلى تحقيق العدال</w:t>
      </w:r>
      <w:r w:rsidR="00051C60">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واستقرار المعاملات المالية</w:t>
      </w:r>
      <w:r w:rsidR="00051C60">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w:t>
      </w:r>
      <w:r w:rsidR="002B4A3A">
        <w:rPr>
          <w:rFonts w:ascii="Traditional Arabic" w:eastAsia="Calibri" w:hAnsi="Traditional Arabic" w:cs="Traditional Arabic" w:hint="cs"/>
          <w:sz w:val="40"/>
          <w:szCs w:val="40"/>
          <w:rtl/>
        </w:rPr>
        <w:t xml:space="preserve">كما أن </w:t>
      </w:r>
      <w:r w:rsidR="00286DB0" w:rsidRPr="00C406BC">
        <w:rPr>
          <w:rFonts w:ascii="Traditional Arabic" w:eastAsia="Calibri" w:hAnsi="Traditional Arabic" w:cs="Traditional Arabic"/>
          <w:sz w:val="40"/>
          <w:szCs w:val="40"/>
          <w:rtl/>
        </w:rPr>
        <w:t xml:space="preserve">مدة التقادم المحددة </w:t>
      </w:r>
      <w:r w:rsidR="002B4A3A">
        <w:rPr>
          <w:rFonts w:ascii="Traditional Arabic" w:eastAsia="Calibri" w:hAnsi="Traditional Arabic" w:cs="Traditional Arabic" w:hint="cs"/>
          <w:sz w:val="40"/>
          <w:szCs w:val="40"/>
          <w:rtl/>
        </w:rPr>
        <w:t>ب</w:t>
      </w:r>
      <w:r w:rsidR="00286DB0" w:rsidRPr="00C406BC">
        <w:rPr>
          <w:rFonts w:ascii="Traditional Arabic" w:eastAsia="Calibri" w:hAnsi="Traditional Arabic" w:cs="Traditional Arabic"/>
          <w:sz w:val="40"/>
          <w:szCs w:val="40"/>
          <w:rtl/>
        </w:rPr>
        <w:t>ثلاث سنوات تضمن حماية المدينين من المطالبات القديمة</w:t>
      </w:r>
      <w:r w:rsidR="002B4A3A">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وتعزز من اليقظة في متابعة الحقوق </w:t>
      </w:r>
      <w:r w:rsidR="00286DB0" w:rsidRPr="00CB2767">
        <w:rPr>
          <w:rFonts w:ascii="Traditional Arabic" w:eastAsia="Calibri" w:hAnsi="Traditional Arabic" w:cs="Traditional Arabic"/>
          <w:sz w:val="40"/>
          <w:szCs w:val="40"/>
          <w:rtl/>
        </w:rPr>
        <w:t>المالية</w:t>
      </w:r>
      <w:r w:rsidR="002B4A3A" w:rsidRPr="00CB2767">
        <w:rPr>
          <w:rFonts w:ascii="Traditional Arabic" w:eastAsia="Calibri" w:hAnsi="Traditional Arabic" w:cs="Traditional Arabic" w:hint="cs"/>
          <w:sz w:val="40"/>
          <w:szCs w:val="40"/>
          <w:rtl/>
        </w:rPr>
        <w:t>.</w:t>
      </w:r>
    </w:p>
    <w:p w14:paraId="4187FA98" w14:textId="30EAD017" w:rsidR="00286DB0" w:rsidRPr="00CB2767" w:rsidRDefault="00CB2767" w:rsidP="00CB2767">
      <w:pPr>
        <w:spacing w:after="240" w:line="360" w:lineRule="auto"/>
        <w:jc w:val="both"/>
        <w:rPr>
          <w:rFonts w:ascii="Traditional Arabic" w:eastAsia="Calibri" w:hAnsi="Traditional Arabic" w:cs="Traditional Arabic"/>
          <w:sz w:val="40"/>
          <w:szCs w:val="40"/>
        </w:rPr>
      </w:pPr>
      <w:r w:rsidRPr="00CB2767">
        <w:rPr>
          <w:rFonts w:ascii="Traditional Arabic" w:eastAsia="Calibri" w:hAnsi="Traditional Arabic" w:cs="Traditional Arabic" w:hint="cs"/>
          <w:sz w:val="40"/>
          <w:szCs w:val="40"/>
          <w:rtl/>
        </w:rPr>
        <w:t>2-</w:t>
      </w:r>
      <w:r w:rsidR="00286DB0" w:rsidRPr="00CB2767">
        <w:rPr>
          <w:rFonts w:ascii="Traditional Arabic" w:eastAsia="Calibri" w:hAnsi="Traditional Arabic" w:cs="Traditional Arabic"/>
          <w:sz w:val="40"/>
          <w:szCs w:val="40"/>
          <w:rtl/>
        </w:rPr>
        <w:t>التقادم في الملكية العقارية</w:t>
      </w:r>
      <w:r w:rsidR="00286DB0" w:rsidRPr="00CB2767">
        <w:rPr>
          <w:rFonts w:ascii="Traditional Arabic" w:eastAsia="Calibri" w:hAnsi="Traditional Arabic" w:cs="Traditional Arabic"/>
          <w:sz w:val="40"/>
          <w:szCs w:val="40"/>
        </w:rPr>
        <w:t>:</w:t>
      </w:r>
    </w:p>
    <w:p w14:paraId="18A572B0" w14:textId="1195D009" w:rsidR="00286DB0" w:rsidRPr="00C406BC" w:rsidRDefault="00286DB0" w:rsidP="00C406BC">
      <w:pPr>
        <w:spacing w:after="240" w:line="360" w:lineRule="auto"/>
        <w:ind w:firstLine="720"/>
        <w:jc w:val="both"/>
        <w:rPr>
          <w:rFonts w:ascii="Traditional Arabic" w:eastAsia="Calibri" w:hAnsi="Traditional Arabic" w:cs="Traditional Arabic"/>
          <w:sz w:val="40"/>
          <w:szCs w:val="40"/>
          <w:rtl/>
        </w:rPr>
      </w:pPr>
      <w:r w:rsidRPr="00C406BC">
        <w:rPr>
          <w:rFonts w:ascii="Traditional Arabic" w:eastAsia="Calibri" w:hAnsi="Traditional Arabic" w:cs="Traditional Arabic"/>
          <w:sz w:val="40"/>
          <w:szCs w:val="40"/>
          <w:rtl/>
        </w:rPr>
        <w:lastRenderedPageBreak/>
        <w:t>يمكن كسب ملكية العقار في النظام السعودي إذا حازه شخص بشكل مستمر</w:t>
      </w:r>
      <w:r w:rsidR="00BC4A79">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وعلني لمدة خمس عشرة سنة دون منازعة من المالك الأصلي</w:t>
      </w:r>
      <w:r w:rsidR="00BC4A79">
        <w:rPr>
          <w:rFonts w:ascii="Traditional Arabic" w:eastAsia="Calibri" w:hAnsi="Traditional Arabic" w:cs="Traditional Arabic" w:hint="cs"/>
          <w:sz w:val="40"/>
          <w:szCs w:val="40"/>
          <w:rtl/>
        </w:rPr>
        <w:t>، و</w:t>
      </w:r>
      <w:r w:rsidRPr="00C406BC">
        <w:rPr>
          <w:rFonts w:ascii="Traditional Arabic" w:eastAsia="Calibri" w:hAnsi="Traditional Arabic" w:cs="Traditional Arabic"/>
          <w:sz w:val="40"/>
          <w:szCs w:val="40"/>
          <w:rtl/>
        </w:rPr>
        <w:t>هذه المدة الطويلة نسبياً تهدف إلى توفير الوقت الكافي للمالكين الأصليين لاستعادة حقوقهم إذا كانت هناك أسباب مشروعة تمنعهم من القيام بذلك فوراً</w:t>
      </w:r>
      <w:r w:rsidRPr="00C406BC">
        <w:rPr>
          <w:rFonts w:ascii="Traditional Arabic" w:eastAsia="Calibri" w:hAnsi="Traditional Arabic" w:cs="Traditional Arabic"/>
          <w:sz w:val="40"/>
          <w:szCs w:val="40"/>
        </w:rPr>
        <w:t>.</w:t>
      </w:r>
      <w:r w:rsidRPr="00C406BC">
        <w:rPr>
          <w:rFonts w:ascii="Traditional Arabic" w:eastAsia="Calibri" w:hAnsi="Traditional Arabic" w:cs="Traditional Arabic"/>
          <w:sz w:val="40"/>
          <w:szCs w:val="40"/>
          <w:vertAlign w:val="superscript"/>
        </w:rPr>
        <w:footnoteReference w:id="34"/>
      </w:r>
    </w:p>
    <w:p w14:paraId="1E2D78C5" w14:textId="5CB0A758" w:rsidR="00286DB0" w:rsidRPr="00C406BC" w:rsidRDefault="00873135" w:rsidP="00873135">
      <w:pPr>
        <w:spacing w:after="240" w:line="360" w:lineRule="auto"/>
        <w:jc w:val="both"/>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t>إن</w:t>
      </w:r>
      <w:r w:rsidR="00286DB0" w:rsidRPr="00C406BC">
        <w:rPr>
          <w:rFonts w:ascii="Traditional Arabic" w:eastAsia="Calibri" w:hAnsi="Traditional Arabic" w:cs="Traditional Arabic"/>
          <w:sz w:val="40"/>
          <w:szCs w:val="40"/>
          <w:rtl/>
        </w:rPr>
        <w:t xml:space="preserve"> النظام السعودي، يعتمد التقادم في الملكية العقارية على مبادئ الشريعة الإسلامية، </w:t>
      </w:r>
      <w:r>
        <w:rPr>
          <w:rFonts w:ascii="Traditional Arabic" w:eastAsia="Calibri" w:hAnsi="Traditional Arabic" w:cs="Traditional Arabic" w:hint="cs"/>
          <w:sz w:val="40"/>
          <w:szCs w:val="40"/>
          <w:rtl/>
        </w:rPr>
        <w:t>كما أسلفنا</w:t>
      </w:r>
      <w:r w:rsidR="00674119">
        <w:rPr>
          <w:rFonts w:ascii="Traditional Arabic" w:eastAsia="Calibri" w:hAnsi="Traditional Arabic" w:cs="Traditional Arabic" w:hint="cs"/>
          <w:sz w:val="40"/>
          <w:szCs w:val="40"/>
          <w:rtl/>
        </w:rPr>
        <w:t xml:space="preserve"> في التقادم في الأوراق التجارية</w:t>
      </w:r>
      <w:r w:rsidR="0052256E">
        <w:rPr>
          <w:rFonts w:ascii="Traditional Arabic" w:eastAsia="Calibri" w:hAnsi="Traditional Arabic" w:cs="Traditional Arabic" w:hint="cs"/>
          <w:sz w:val="40"/>
          <w:szCs w:val="40"/>
          <w:rtl/>
        </w:rPr>
        <w:t xml:space="preserve">، </w:t>
      </w:r>
      <w:r w:rsidR="00286DB0" w:rsidRPr="00C406BC">
        <w:rPr>
          <w:rFonts w:ascii="Traditional Arabic" w:eastAsia="Calibri" w:hAnsi="Traditional Arabic" w:cs="Traditional Arabic"/>
          <w:sz w:val="40"/>
          <w:szCs w:val="40"/>
          <w:rtl/>
        </w:rPr>
        <w:t>والتي تهدف إلى تحقيق العدالة</w:t>
      </w:r>
      <w:r w:rsidR="00533C11">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واستقرار المعاملات، وتستند فكرة التقادم في الفقه الإسلامي إلى حماية الحقوق</w:t>
      </w:r>
      <w:r w:rsidR="00295E28">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ومنع النزاعات الطويلة التي قد تنشأ من المطالبات المتأخرة</w:t>
      </w:r>
      <w:r w:rsidR="00451240">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w:t>
      </w:r>
      <w:r w:rsidR="00451240">
        <w:rPr>
          <w:rFonts w:ascii="Traditional Arabic" w:eastAsia="Calibri" w:hAnsi="Traditional Arabic" w:cs="Traditional Arabic" w:hint="cs"/>
          <w:sz w:val="40"/>
          <w:szCs w:val="40"/>
          <w:rtl/>
        </w:rPr>
        <w:t>و</w:t>
      </w:r>
      <w:r w:rsidR="00286DB0" w:rsidRPr="00C406BC">
        <w:rPr>
          <w:rFonts w:ascii="Traditional Arabic" w:eastAsia="Calibri" w:hAnsi="Traditional Arabic" w:cs="Traditional Arabic"/>
          <w:sz w:val="40"/>
          <w:szCs w:val="40"/>
          <w:rtl/>
        </w:rPr>
        <w:t>تعتبر الشريعة الإسلامية التقادم وسيلة لتجنب الضرر</w:t>
      </w:r>
      <w:r w:rsidR="00451240">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ولتعزيز استقرار الملكية، حيث </w:t>
      </w:r>
      <w:r w:rsidR="00451240">
        <w:rPr>
          <w:rFonts w:ascii="Traditional Arabic" w:eastAsia="Calibri" w:hAnsi="Traditional Arabic" w:cs="Traditional Arabic" w:hint="cs"/>
          <w:sz w:val="40"/>
          <w:szCs w:val="40"/>
          <w:rtl/>
        </w:rPr>
        <w:t>إ</w:t>
      </w:r>
      <w:r w:rsidR="00286DB0" w:rsidRPr="00C406BC">
        <w:rPr>
          <w:rFonts w:ascii="Traditional Arabic" w:eastAsia="Calibri" w:hAnsi="Traditional Arabic" w:cs="Traditional Arabic"/>
          <w:sz w:val="40"/>
          <w:szCs w:val="40"/>
          <w:rtl/>
        </w:rPr>
        <w:t>ن مرور الزمن دون منازعة يعد دليلاً على استقرار الوضع القانوني للحيازة</w:t>
      </w:r>
      <w:r w:rsidR="00286DB0" w:rsidRPr="00C406BC">
        <w:rPr>
          <w:rFonts w:ascii="Traditional Arabic" w:eastAsia="Calibri" w:hAnsi="Traditional Arabic" w:cs="Traditional Arabic"/>
          <w:sz w:val="40"/>
          <w:szCs w:val="40"/>
        </w:rPr>
        <w:t>.</w:t>
      </w:r>
    </w:p>
    <w:p w14:paraId="517EE532" w14:textId="65301554" w:rsidR="00286DB0" w:rsidRPr="00C406BC" w:rsidRDefault="00286DB0" w:rsidP="00C406BC">
      <w:pPr>
        <w:spacing w:after="240" w:line="360" w:lineRule="auto"/>
        <w:ind w:firstLine="720"/>
        <w:jc w:val="both"/>
        <w:rPr>
          <w:rFonts w:ascii="Traditional Arabic" w:eastAsia="Calibri" w:hAnsi="Traditional Arabic" w:cs="Traditional Arabic"/>
          <w:sz w:val="40"/>
          <w:szCs w:val="40"/>
          <w:rtl/>
        </w:rPr>
      </w:pPr>
      <w:r w:rsidRPr="00C406BC">
        <w:rPr>
          <w:rFonts w:ascii="Traditional Arabic" w:eastAsia="Calibri" w:hAnsi="Traditional Arabic" w:cs="Traditional Arabic"/>
          <w:sz w:val="40"/>
          <w:szCs w:val="40"/>
          <w:rtl/>
        </w:rPr>
        <w:t>يمكن للفرد</w:t>
      </w:r>
      <w:r w:rsidR="00386D7B">
        <w:rPr>
          <w:rFonts w:ascii="Traditional Arabic" w:eastAsia="Calibri" w:hAnsi="Traditional Arabic" w:cs="Traditional Arabic" w:hint="cs"/>
          <w:sz w:val="40"/>
          <w:szCs w:val="40"/>
          <w:rtl/>
        </w:rPr>
        <w:t xml:space="preserve"> </w:t>
      </w:r>
      <w:r w:rsidR="00386D7B" w:rsidRPr="00C406BC">
        <w:rPr>
          <w:rFonts w:ascii="Traditional Arabic" w:eastAsia="Calibri" w:hAnsi="Traditional Arabic" w:cs="Traditional Arabic"/>
          <w:sz w:val="40"/>
          <w:szCs w:val="40"/>
          <w:rtl/>
        </w:rPr>
        <w:t>في النظام السعودي</w:t>
      </w:r>
      <w:r w:rsidRPr="00C406BC">
        <w:rPr>
          <w:rFonts w:ascii="Traditional Arabic" w:eastAsia="Calibri" w:hAnsi="Traditional Arabic" w:cs="Traditional Arabic"/>
          <w:sz w:val="40"/>
          <w:szCs w:val="40"/>
          <w:rtl/>
        </w:rPr>
        <w:t xml:space="preserve"> أن يكسب ملكية عقار إذا استمر في حيازته بشكل مستمر</w:t>
      </w:r>
      <w:r w:rsidR="00386D7B">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وعلني لمدة خمس عشرة سنة دون منازعة من المالك الأصلي</w:t>
      </w:r>
      <w:r w:rsidR="00386D7B">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أو من الغير، وهذه الفترة الطويلة تهدف إلى توفير الوقت الكافي للمالكين الأصليين لاستعادة حقوقهم إذا كانت لديهم </w:t>
      </w:r>
      <w:r w:rsidRPr="00C406BC">
        <w:rPr>
          <w:rFonts w:ascii="Traditional Arabic" w:eastAsia="Calibri" w:hAnsi="Traditional Arabic" w:cs="Traditional Arabic"/>
          <w:sz w:val="40"/>
          <w:szCs w:val="40"/>
          <w:rtl/>
        </w:rPr>
        <w:lastRenderedPageBreak/>
        <w:t>أسباب مشروعة تمنعهم من القيام بذلك فوراً، وبعد مرور مدة التقادم المكسب</w:t>
      </w:r>
      <w:r w:rsidR="00F11EA8">
        <w:rPr>
          <w:rFonts w:ascii="Traditional Arabic" w:eastAsia="Calibri" w:hAnsi="Traditional Arabic" w:cs="Traditional Arabic" w:hint="cs"/>
          <w:sz w:val="40"/>
          <w:szCs w:val="40"/>
          <w:rtl/>
        </w:rPr>
        <w:t>، والتي هي خمس عشرة سنة</w:t>
      </w:r>
      <w:r w:rsidRPr="00C406BC">
        <w:rPr>
          <w:rFonts w:ascii="Traditional Arabic" w:eastAsia="Calibri" w:hAnsi="Traditional Arabic" w:cs="Traditional Arabic"/>
          <w:sz w:val="40"/>
          <w:szCs w:val="40"/>
          <w:rtl/>
        </w:rPr>
        <w:t>، يصبح الحائز مالكاً ل</w:t>
      </w:r>
      <w:r w:rsidR="00FD6139">
        <w:rPr>
          <w:rFonts w:ascii="Traditional Arabic" w:eastAsia="Calibri" w:hAnsi="Traditional Arabic" w:cs="Traditional Arabic" w:hint="cs"/>
          <w:sz w:val="40"/>
          <w:szCs w:val="40"/>
          <w:rtl/>
        </w:rPr>
        <w:t>لعقار</w:t>
      </w:r>
      <w:r w:rsidRPr="00C406BC">
        <w:rPr>
          <w:rFonts w:ascii="Traditional Arabic" w:eastAsia="Calibri" w:hAnsi="Traditional Arabic" w:cs="Traditional Arabic"/>
          <w:sz w:val="40"/>
          <w:szCs w:val="40"/>
          <w:rtl/>
        </w:rPr>
        <w:t xml:space="preserve"> بشكل قانوني، ولا يمكن للمالك الأصلي المطالبة بها قضائيًا، ويساهم هذا النظام في استقرار المعاملات العقارية</w:t>
      </w:r>
      <w:r w:rsidR="00FD6139">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ويحد من النزاعات القانونية التي قد تنشأ بعد مرور فترة طويلة</w:t>
      </w:r>
      <w:r w:rsidRPr="00C406BC">
        <w:rPr>
          <w:rFonts w:ascii="Traditional Arabic" w:eastAsia="Calibri" w:hAnsi="Traditional Arabic" w:cs="Traditional Arabic"/>
          <w:sz w:val="40"/>
          <w:szCs w:val="40"/>
        </w:rPr>
        <w:t>.</w:t>
      </w:r>
    </w:p>
    <w:p w14:paraId="00EE121A" w14:textId="2840E6CB" w:rsidR="00286DB0" w:rsidRPr="00C406BC" w:rsidRDefault="00AE6113" w:rsidP="00AE6113">
      <w:pPr>
        <w:spacing w:after="240" w:line="360" w:lineRule="auto"/>
        <w:jc w:val="both"/>
        <w:rPr>
          <w:rFonts w:ascii="Traditional Arabic" w:eastAsia="Calibri" w:hAnsi="Traditional Arabic" w:cs="Traditional Arabic"/>
          <w:sz w:val="40"/>
          <w:szCs w:val="40"/>
          <w:rtl/>
        </w:rPr>
      </w:pPr>
      <w:r>
        <w:rPr>
          <w:rFonts w:ascii="Traditional Arabic" w:eastAsia="Calibri" w:hAnsi="Traditional Arabic" w:cs="Traditional Arabic" w:hint="cs"/>
          <w:sz w:val="40"/>
          <w:szCs w:val="40"/>
          <w:rtl/>
        </w:rPr>
        <w:t>يجدر ب</w:t>
      </w:r>
      <w:r w:rsidR="00286DB0" w:rsidRPr="00C406BC">
        <w:rPr>
          <w:rFonts w:ascii="Traditional Arabic" w:eastAsia="Calibri" w:hAnsi="Traditional Arabic" w:cs="Traditional Arabic"/>
          <w:sz w:val="40"/>
          <w:szCs w:val="40"/>
          <w:rtl/>
        </w:rPr>
        <w:t>الذكر أن النظام لم يحدد ما إذا كان يجب احتساب مدة عدم سماع الدعوى بالتاريخ الميلادي أو الهجري، إلا أنه في العموم يُعتقد أن النظام الهجري هو التاريخ الرسمي المعتمد في المملكة العربية السعودية، ويُلاحظ أيضًا أن المادة (٤٢) تعطي بعض المرونة في حساب مواعيد الاستحقاق والتقديم، وتحدد الميعاد وفقًا لتقويم بلد الوفاء، مما يعني أنه لا مانع من استخدام التاريخ الميلادي</w:t>
      </w:r>
      <w:r w:rsidR="006A2427">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الهجري</w:t>
      </w:r>
      <w:r w:rsidR="00286DB0" w:rsidRPr="00C406BC">
        <w:rPr>
          <w:rFonts w:ascii="Traditional Arabic" w:eastAsia="Calibri" w:hAnsi="Traditional Arabic" w:cs="Traditional Arabic"/>
          <w:sz w:val="40"/>
          <w:szCs w:val="40"/>
        </w:rPr>
        <w:t>.</w:t>
      </w:r>
      <w:r w:rsidR="00286DB0" w:rsidRPr="00C406BC">
        <w:rPr>
          <w:rFonts w:ascii="Traditional Arabic" w:eastAsia="Calibri" w:hAnsi="Traditional Arabic" w:cs="Traditional Arabic"/>
          <w:sz w:val="40"/>
          <w:szCs w:val="40"/>
          <w:vertAlign w:val="superscript"/>
        </w:rPr>
        <w:footnoteReference w:id="35"/>
      </w:r>
    </w:p>
    <w:p w14:paraId="48392F5C" w14:textId="77777777" w:rsidR="00286DB0" w:rsidRPr="00C406BC" w:rsidRDefault="00286DB0" w:rsidP="00C406BC">
      <w:pPr>
        <w:spacing w:after="240" w:line="360" w:lineRule="auto"/>
        <w:ind w:firstLine="720"/>
        <w:jc w:val="both"/>
        <w:rPr>
          <w:rFonts w:ascii="Traditional Arabic" w:eastAsia="Calibri" w:hAnsi="Traditional Arabic" w:cs="Traditional Arabic"/>
          <w:sz w:val="40"/>
          <w:szCs w:val="40"/>
          <w:rtl/>
        </w:rPr>
      </w:pPr>
    </w:p>
    <w:p w14:paraId="54DAB3F0" w14:textId="77777777" w:rsidR="00286DB0" w:rsidRPr="00C406BC" w:rsidRDefault="00286DB0" w:rsidP="00C406BC">
      <w:pPr>
        <w:spacing w:after="240" w:line="360" w:lineRule="auto"/>
        <w:ind w:firstLine="720"/>
        <w:jc w:val="both"/>
        <w:rPr>
          <w:rFonts w:ascii="Traditional Arabic" w:eastAsia="Calibri" w:hAnsi="Traditional Arabic" w:cs="Traditional Arabic"/>
          <w:sz w:val="40"/>
          <w:szCs w:val="40"/>
          <w:rtl/>
        </w:rPr>
      </w:pPr>
    </w:p>
    <w:p w14:paraId="6535E97C" w14:textId="77777777" w:rsidR="00286DB0" w:rsidRPr="00C406BC" w:rsidRDefault="00286DB0" w:rsidP="00C406BC">
      <w:pPr>
        <w:spacing w:after="240" w:line="360" w:lineRule="auto"/>
        <w:ind w:firstLine="720"/>
        <w:jc w:val="both"/>
        <w:rPr>
          <w:rFonts w:ascii="Traditional Arabic" w:eastAsia="Calibri" w:hAnsi="Traditional Arabic" w:cs="Traditional Arabic"/>
          <w:sz w:val="40"/>
          <w:szCs w:val="40"/>
          <w:rtl/>
        </w:rPr>
      </w:pPr>
    </w:p>
    <w:p w14:paraId="5639602E" w14:textId="77777777" w:rsidR="00286DB0" w:rsidRPr="00C406BC" w:rsidRDefault="00286DB0" w:rsidP="0010008E">
      <w:pPr>
        <w:spacing w:after="240" w:line="360" w:lineRule="auto"/>
        <w:jc w:val="both"/>
        <w:rPr>
          <w:rFonts w:ascii="Traditional Arabic" w:eastAsia="Calibri" w:hAnsi="Traditional Arabic" w:cs="Traditional Arabic"/>
          <w:sz w:val="40"/>
          <w:szCs w:val="40"/>
          <w:rtl/>
        </w:rPr>
      </w:pPr>
    </w:p>
    <w:p w14:paraId="496509D7" w14:textId="77777777" w:rsidR="00286DB0" w:rsidRPr="00C406BC" w:rsidRDefault="00286DB0" w:rsidP="00A85F14">
      <w:pPr>
        <w:shd w:val="clear" w:color="auto" w:fill="EDEDED" w:themeFill="accent3" w:themeFillTint="33"/>
        <w:spacing w:after="240" w:line="360" w:lineRule="auto"/>
        <w:jc w:val="center"/>
        <w:rPr>
          <w:rFonts w:ascii="Traditional Arabic" w:eastAsia="Calibri" w:hAnsi="Traditional Arabic" w:cs="Traditional Arabic"/>
          <w:b/>
          <w:bCs/>
          <w:sz w:val="40"/>
          <w:szCs w:val="40"/>
        </w:rPr>
      </w:pPr>
      <w:r w:rsidRPr="00C406BC">
        <w:rPr>
          <w:rFonts w:ascii="Traditional Arabic" w:eastAsia="Calibri" w:hAnsi="Traditional Arabic" w:cs="Traditional Arabic"/>
          <w:b/>
          <w:bCs/>
          <w:sz w:val="40"/>
          <w:szCs w:val="40"/>
          <w:rtl/>
        </w:rPr>
        <w:t>المبحث الثاني: التقادم في نظام المحاكم التجارية السعودية</w:t>
      </w:r>
    </w:p>
    <w:p w14:paraId="144CDE4C" w14:textId="1B76A1D7" w:rsidR="00BF0488" w:rsidRPr="00255E07" w:rsidRDefault="00255E07" w:rsidP="0010008E">
      <w:pPr>
        <w:pStyle w:val="a5"/>
        <w:spacing w:after="240" w:line="360" w:lineRule="auto"/>
        <w:rPr>
          <w:rFonts w:ascii="Traditional Arabic" w:eastAsia="Calibri" w:hAnsi="Traditional Arabic" w:cs="Traditional Arabic"/>
          <w:sz w:val="40"/>
          <w:szCs w:val="40"/>
          <w:rtl/>
        </w:rPr>
      </w:pPr>
      <w:r w:rsidRPr="00255E07">
        <w:rPr>
          <w:rFonts w:ascii="Traditional Arabic" w:eastAsia="Calibri" w:hAnsi="Traditional Arabic" w:cs="Traditional Arabic" w:hint="cs"/>
          <w:sz w:val="40"/>
          <w:szCs w:val="40"/>
          <w:rtl/>
        </w:rPr>
        <w:t>يشتمل هذا المبحث على ثلاثة مطالب:</w:t>
      </w:r>
    </w:p>
    <w:p w14:paraId="4437548C" w14:textId="74599CA0" w:rsidR="00286DB0" w:rsidRPr="00255E07" w:rsidRDefault="00286DB0" w:rsidP="0010008E">
      <w:pPr>
        <w:pStyle w:val="a5"/>
        <w:spacing w:after="240" w:line="360" w:lineRule="auto"/>
        <w:rPr>
          <w:rFonts w:ascii="Traditional Arabic" w:eastAsia="Calibri" w:hAnsi="Traditional Arabic" w:cs="Traditional Arabic"/>
          <w:sz w:val="40"/>
          <w:szCs w:val="40"/>
          <w:rtl/>
          <w:lang w:bidi="ar-EG"/>
        </w:rPr>
      </w:pPr>
      <w:r w:rsidRPr="00255E07">
        <w:rPr>
          <w:rFonts w:ascii="Traditional Arabic" w:eastAsia="Calibri" w:hAnsi="Traditional Arabic" w:cs="Traditional Arabic"/>
          <w:sz w:val="40"/>
          <w:szCs w:val="40"/>
          <w:rtl/>
        </w:rPr>
        <w:t>المطلب الأول</w:t>
      </w:r>
      <w:r w:rsidRPr="00255E07">
        <w:rPr>
          <w:rFonts w:ascii="Traditional Arabic" w:eastAsia="Calibri" w:hAnsi="Traditional Arabic" w:cs="Traditional Arabic"/>
          <w:sz w:val="40"/>
          <w:szCs w:val="40"/>
        </w:rPr>
        <w:t>:</w:t>
      </w:r>
      <w:r w:rsidRPr="00255E07">
        <w:rPr>
          <w:rFonts w:ascii="Traditional Arabic" w:eastAsia="Calibri" w:hAnsi="Traditional Arabic" w:cs="Traditional Arabic"/>
          <w:sz w:val="40"/>
          <w:szCs w:val="40"/>
          <w:rtl/>
          <w:lang w:bidi="ar-EG"/>
        </w:rPr>
        <w:t xml:space="preserve"> المبدأ العام للتقادم في العقود التجارية</w:t>
      </w:r>
      <w:r w:rsidR="00201EC7">
        <w:rPr>
          <w:rFonts w:ascii="Traditional Arabic" w:eastAsia="Calibri" w:hAnsi="Traditional Arabic" w:cs="Traditional Arabic" w:hint="cs"/>
          <w:sz w:val="40"/>
          <w:szCs w:val="40"/>
          <w:rtl/>
          <w:lang w:bidi="ar-EG"/>
        </w:rPr>
        <w:t>.</w:t>
      </w:r>
      <w:r w:rsidRPr="00255E07">
        <w:rPr>
          <w:rFonts w:ascii="Traditional Arabic" w:eastAsia="Calibri" w:hAnsi="Traditional Arabic" w:cs="Traditional Arabic"/>
          <w:sz w:val="40"/>
          <w:szCs w:val="40"/>
          <w:rtl/>
          <w:lang w:bidi="ar-EG"/>
        </w:rPr>
        <w:t xml:space="preserve"> </w:t>
      </w:r>
    </w:p>
    <w:p w14:paraId="19B357BA" w14:textId="2CDA9F5C" w:rsidR="00286DB0" w:rsidRPr="00255E07" w:rsidRDefault="00286DB0" w:rsidP="0010008E">
      <w:pPr>
        <w:pStyle w:val="a5"/>
        <w:spacing w:after="240" w:line="360" w:lineRule="auto"/>
        <w:rPr>
          <w:rFonts w:ascii="Traditional Arabic" w:eastAsia="Calibri" w:hAnsi="Traditional Arabic" w:cs="Traditional Arabic"/>
          <w:sz w:val="40"/>
          <w:szCs w:val="40"/>
          <w:rtl/>
        </w:rPr>
      </w:pPr>
      <w:r w:rsidRPr="00255E07">
        <w:rPr>
          <w:rFonts w:ascii="Traditional Arabic" w:eastAsia="Calibri" w:hAnsi="Traditional Arabic" w:cs="Traditional Arabic"/>
          <w:sz w:val="40"/>
          <w:szCs w:val="40"/>
          <w:rtl/>
        </w:rPr>
        <w:t xml:space="preserve">المطلب </w:t>
      </w:r>
      <w:r w:rsidR="00255E07" w:rsidRPr="00255E07">
        <w:rPr>
          <w:rFonts w:ascii="Traditional Arabic" w:eastAsia="Calibri" w:hAnsi="Traditional Arabic" w:cs="Traditional Arabic" w:hint="cs"/>
          <w:sz w:val="40"/>
          <w:szCs w:val="40"/>
          <w:rtl/>
        </w:rPr>
        <w:t>الثاني: الاستثناءات</w:t>
      </w:r>
      <w:r w:rsidRPr="00255E07">
        <w:rPr>
          <w:rFonts w:ascii="Traditional Arabic" w:eastAsia="Calibri" w:hAnsi="Traditional Arabic" w:cs="Traditional Arabic"/>
          <w:sz w:val="40"/>
          <w:szCs w:val="40"/>
          <w:rtl/>
        </w:rPr>
        <w:t xml:space="preserve"> الواردة على المبدأ العام في مدونة التجارة</w:t>
      </w:r>
      <w:r w:rsidR="00201EC7">
        <w:rPr>
          <w:rFonts w:ascii="Traditional Arabic" w:eastAsia="Calibri" w:hAnsi="Traditional Arabic" w:cs="Traditional Arabic" w:hint="cs"/>
          <w:sz w:val="40"/>
          <w:szCs w:val="40"/>
          <w:rtl/>
        </w:rPr>
        <w:t>.</w:t>
      </w:r>
    </w:p>
    <w:p w14:paraId="70DAB3B8" w14:textId="483E2EED" w:rsidR="005602B6" w:rsidRDefault="00286DB0" w:rsidP="00201EC7">
      <w:pPr>
        <w:pStyle w:val="a5"/>
        <w:spacing w:after="240" w:line="360" w:lineRule="auto"/>
        <w:rPr>
          <w:rFonts w:ascii="Traditional Arabic" w:eastAsia="Calibri" w:hAnsi="Traditional Arabic" w:cs="Traditional Arabic"/>
          <w:b/>
          <w:bCs/>
          <w:sz w:val="40"/>
          <w:szCs w:val="40"/>
        </w:rPr>
      </w:pPr>
      <w:r w:rsidRPr="00255E07">
        <w:rPr>
          <w:rFonts w:ascii="Traditional Arabic" w:eastAsia="Calibri" w:hAnsi="Traditional Arabic" w:cs="Traditional Arabic"/>
          <w:sz w:val="40"/>
          <w:szCs w:val="40"/>
          <w:rtl/>
        </w:rPr>
        <w:t>المطلب الثالث: التقادم الوارد في بعض القوانين التجارية الخاصة</w:t>
      </w:r>
      <w:bookmarkStart w:id="29" w:name="_Toc168891649"/>
      <w:r w:rsidR="00F02E71">
        <w:rPr>
          <w:rFonts w:ascii="Traditional Arabic" w:eastAsia="Calibri" w:hAnsi="Traditional Arabic" w:cs="Traditional Arabic" w:hint="cs"/>
          <w:b/>
          <w:bCs/>
          <w:sz w:val="40"/>
          <w:szCs w:val="40"/>
          <w:rtl/>
        </w:rPr>
        <w:t>.</w:t>
      </w:r>
    </w:p>
    <w:p w14:paraId="1C0300FA" w14:textId="77777777" w:rsidR="005602B6" w:rsidRDefault="005602B6" w:rsidP="00201EC7">
      <w:pPr>
        <w:pStyle w:val="a5"/>
        <w:spacing w:after="240" w:line="360" w:lineRule="auto"/>
        <w:rPr>
          <w:rFonts w:ascii="Traditional Arabic" w:eastAsia="Calibri" w:hAnsi="Traditional Arabic" w:cs="Traditional Arabic"/>
          <w:b/>
          <w:bCs/>
          <w:sz w:val="40"/>
          <w:szCs w:val="40"/>
          <w:rtl/>
        </w:rPr>
      </w:pPr>
    </w:p>
    <w:p w14:paraId="35D6B501" w14:textId="77777777" w:rsidR="00441F6F" w:rsidRDefault="00441F6F" w:rsidP="00201EC7">
      <w:pPr>
        <w:spacing w:after="240" w:line="360" w:lineRule="auto"/>
        <w:rPr>
          <w:rFonts w:ascii="Traditional Arabic" w:eastAsia="Calibri" w:hAnsi="Traditional Arabic" w:cs="Traditional Arabic"/>
          <w:b/>
          <w:bCs/>
          <w:sz w:val="40"/>
          <w:szCs w:val="40"/>
          <w:rtl/>
        </w:rPr>
      </w:pPr>
    </w:p>
    <w:p w14:paraId="38830AFE" w14:textId="77777777" w:rsidR="00B95848" w:rsidRDefault="00B95848" w:rsidP="00201EC7">
      <w:pPr>
        <w:spacing w:after="240" w:line="360" w:lineRule="auto"/>
        <w:rPr>
          <w:rFonts w:ascii="Traditional Arabic" w:eastAsia="Calibri" w:hAnsi="Traditional Arabic" w:cs="Traditional Arabic"/>
          <w:b/>
          <w:bCs/>
          <w:sz w:val="40"/>
          <w:szCs w:val="40"/>
          <w:rtl/>
        </w:rPr>
      </w:pPr>
    </w:p>
    <w:p w14:paraId="1C522013" w14:textId="77777777" w:rsidR="00B95848" w:rsidRDefault="00B95848" w:rsidP="00201EC7">
      <w:pPr>
        <w:spacing w:after="240" w:line="360" w:lineRule="auto"/>
        <w:rPr>
          <w:rFonts w:ascii="Traditional Arabic" w:eastAsia="Calibri" w:hAnsi="Traditional Arabic" w:cs="Traditional Arabic"/>
          <w:b/>
          <w:bCs/>
          <w:sz w:val="40"/>
          <w:szCs w:val="40"/>
          <w:rtl/>
        </w:rPr>
      </w:pPr>
    </w:p>
    <w:p w14:paraId="7F5BF79C" w14:textId="77777777" w:rsidR="00B95848" w:rsidRDefault="00B95848" w:rsidP="00201EC7">
      <w:pPr>
        <w:spacing w:after="240" w:line="360" w:lineRule="auto"/>
        <w:rPr>
          <w:rFonts w:ascii="Traditional Arabic" w:eastAsia="Calibri" w:hAnsi="Traditional Arabic" w:cs="Traditional Arabic"/>
          <w:b/>
          <w:bCs/>
          <w:sz w:val="40"/>
          <w:szCs w:val="40"/>
          <w:rtl/>
        </w:rPr>
      </w:pPr>
    </w:p>
    <w:p w14:paraId="0B29B2A5" w14:textId="77777777" w:rsidR="00B95848" w:rsidRPr="00F02E71" w:rsidRDefault="00B95848" w:rsidP="00201EC7">
      <w:pPr>
        <w:spacing w:after="240" w:line="360" w:lineRule="auto"/>
        <w:rPr>
          <w:rFonts w:ascii="Traditional Arabic" w:eastAsia="Calibri" w:hAnsi="Traditional Arabic" w:cs="Traditional Arabic"/>
          <w:b/>
          <w:bCs/>
          <w:sz w:val="40"/>
          <w:szCs w:val="40"/>
        </w:rPr>
      </w:pPr>
    </w:p>
    <w:p w14:paraId="4339EAFB" w14:textId="7A0D8A64" w:rsidR="00286DB0" w:rsidRPr="004224CB" w:rsidRDefault="00286DB0" w:rsidP="00201EC7">
      <w:pPr>
        <w:pStyle w:val="a5"/>
        <w:spacing w:after="240" w:line="360" w:lineRule="auto"/>
        <w:rPr>
          <w:rFonts w:ascii="Traditional Arabic" w:eastAsia="Calibri" w:hAnsi="Traditional Arabic" w:cs="Traditional Arabic"/>
          <w:sz w:val="40"/>
          <w:szCs w:val="40"/>
        </w:rPr>
      </w:pPr>
      <w:r w:rsidRPr="00C406BC">
        <w:rPr>
          <w:rFonts w:ascii="Traditional Arabic" w:eastAsia="Calibri" w:hAnsi="Traditional Arabic" w:cs="Traditional Arabic"/>
          <w:b/>
          <w:bCs/>
          <w:sz w:val="40"/>
          <w:szCs w:val="40"/>
          <w:lang w:bidi="ar-EG"/>
        </w:rPr>
        <w:lastRenderedPageBreak/>
        <w:t xml:space="preserve"> </w:t>
      </w:r>
      <w:r w:rsidR="004224CB">
        <w:rPr>
          <w:rFonts w:ascii="Traditional Arabic" w:eastAsia="Calibri" w:hAnsi="Traditional Arabic" w:cs="Traditional Arabic" w:hint="cs"/>
          <w:b/>
          <w:bCs/>
          <w:sz w:val="40"/>
          <w:szCs w:val="40"/>
          <w:rtl/>
        </w:rPr>
        <w:t>المطلب الأول:</w:t>
      </w:r>
      <w:r w:rsidR="004224CB" w:rsidRPr="00C406BC">
        <w:rPr>
          <w:rFonts w:ascii="Traditional Arabic" w:eastAsia="Calibri" w:hAnsi="Traditional Arabic" w:cs="Traditional Arabic"/>
          <w:b/>
          <w:bCs/>
          <w:sz w:val="40"/>
          <w:szCs w:val="40"/>
          <w:lang w:bidi="ar-EG"/>
        </w:rPr>
        <w:t xml:space="preserve"> </w:t>
      </w:r>
      <w:r w:rsidR="004224CB" w:rsidRPr="00C406BC">
        <w:rPr>
          <w:rFonts w:ascii="Traditional Arabic" w:eastAsia="Calibri" w:hAnsi="Traditional Arabic" w:cs="Traditional Arabic"/>
          <w:b/>
          <w:bCs/>
          <w:sz w:val="40"/>
          <w:szCs w:val="40"/>
          <w:rtl/>
          <w:lang w:bidi="ar-EG"/>
        </w:rPr>
        <w:t>المبدأ</w:t>
      </w:r>
      <w:r w:rsidRPr="00C406BC">
        <w:rPr>
          <w:rFonts w:ascii="Traditional Arabic" w:eastAsia="Calibri" w:hAnsi="Traditional Arabic" w:cs="Traditional Arabic"/>
          <w:b/>
          <w:bCs/>
          <w:sz w:val="40"/>
          <w:szCs w:val="40"/>
          <w:lang w:bidi="ar-EG"/>
        </w:rPr>
        <w:t xml:space="preserve"> </w:t>
      </w:r>
      <w:r w:rsidR="004224CB">
        <w:rPr>
          <w:rFonts w:ascii="Traditional Arabic" w:eastAsia="Calibri" w:hAnsi="Traditional Arabic" w:cs="Traditional Arabic"/>
          <w:b/>
          <w:bCs/>
          <w:sz w:val="40"/>
          <w:szCs w:val="40"/>
          <w:lang w:bidi="ar-EG"/>
        </w:rPr>
        <w:t>:</w:t>
      </w:r>
      <w:r w:rsidRPr="00C406BC">
        <w:rPr>
          <w:rFonts w:ascii="Traditional Arabic" w:eastAsia="Calibri" w:hAnsi="Traditional Arabic" w:cs="Traditional Arabic"/>
          <w:b/>
          <w:bCs/>
          <w:sz w:val="40"/>
          <w:szCs w:val="40"/>
          <w:lang w:bidi="ar-EG"/>
        </w:rPr>
        <w:t>العام للتقادم في العقود التجارية</w:t>
      </w:r>
      <w:bookmarkEnd w:id="29"/>
    </w:p>
    <w:p w14:paraId="1FF88264" w14:textId="65AA13FA" w:rsidR="00286DB0" w:rsidRPr="004224CB" w:rsidRDefault="00286DB0" w:rsidP="00C406BC">
      <w:pPr>
        <w:spacing w:after="240" w:line="360" w:lineRule="auto"/>
        <w:jc w:val="both"/>
        <w:rPr>
          <w:rFonts w:ascii="Traditional Arabic" w:eastAsia="Calibri" w:hAnsi="Traditional Arabic" w:cs="Traditional Arabic"/>
          <w:sz w:val="40"/>
          <w:szCs w:val="40"/>
          <w:rtl/>
        </w:rPr>
      </w:pPr>
      <w:r w:rsidRPr="004224CB">
        <w:rPr>
          <w:rFonts w:ascii="Traditional Arabic" w:eastAsia="Calibri" w:hAnsi="Traditional Arabic" w:cs="Traditional Arabic"/>
          <w:sz w:val="40"/>
          <w:szCs w:val="40"/>
          <w:rtl/>
        </w:rPr>
        <w:t>الفرع الأول: العلاقة بين الالتزام الأصلي</w:t>
      </w:r>
      <w:r w:rsidR="004224CB">
        <w:rPr>
          <w:rFonts w:ascii="Traditional Arabic" w:eastAsia="Calibri" w:hAnsi="Traditional Arabic" w:cs="Traditional Arabic" w:hint="cs"/>
          <w:sz w:val="40"/>
          <w:szCs w:val="40"/>
          <w:rtl/>
        </w:rPr>
        <w:t>،</w:t>
      </w:r>
      <w:r w:rsidRPr="004224CB">
        <w:rPr>
          <w:rFonts w:ascii="Traditional Arabic" w:eastAsia="Calibri" w:hAnsi="Traditional Arabic" w:cs="Traditional Arabic"/>
          <w:sz w:val="40"/>
          <w:szCs w:val="40"/>
          <w:rtl/>
        </w:rPr>
        <w:t xml:space="preserve"> والالتزام الصرفي</w:t>
      </w:r>
      <w:r w:rsidR="004224CB">
        <w:rPr>
          <w:rFonts w:ascii="Traditional Arabic" w:eastAsia="Calibri" w:hAnsi="Traditional Arabic" w:cs="Traditional Arabic" w:hint="cs"/>
          <w:sz w:val="40"/>
          <w:szCs w:val="40"/>
          <w:rtl/>
        </w:rPr>
        <w:t>:</w:t>
      </w:r>
    </w:p>
    <w:p w14:paraId="1BAEFCB0" w14:textId="14F6BD75" w:rsidR="00286DB0" w:rsidRPr="00C406BC" w:rsidRDefault="004224CB" w:rsidP="00C406BC">
      <w:pPr>
        <w:spacing w:after="240" w:line="360" w:lineRule="auto"/>
        <w:ind w:firstLine="720"/>
        <w:jc w:val="both"/>
        <w:rPr>
          <w:rFonts w:ascii="Traditional Arabic" w:eastAsia="Calibri" w:hAnsi="Traditional Arabic" w:cs="Traditional Arabic"/>
          <w:sz w:val="40"/>
          <w:szCs w:val="40"/>
          <w:lang w:bidi="ar-EG"/>
        </w:rPr>
      </w:pPr>
      <w:r>
        <w:rPr>
          <w:rFonts w:ascii="Traditional Arabic" w:eastAsia="Calibri" w:hAnsi="Traditional Arabic" w:cs="Traditional Arabic" w:hint="cs"/>
          <w:sz w:val="40"/>
          <w:szCs w:val="40"/>
          <w:rtl/>
        </w:rPr>
        <w:t xml:space="preserve">إن </w:t>
      </w:r>
      <w:r w:rsidR="00286DB0" w:rsidRPr="00C406BC">
        <w:rPr>
          <w:rFonts w:ascii="Traditional Arabic" w:eastAsia="Calibri" w:hAnsi="Traditional Arabic" w:cs="Traditional Arabic"/>
          <w:sz w:val="40"/>
          <w:szCs w:val="40"/>
          <w:rtl/>
        </w:rPr>
        <w:t>الالتزام ال</w:t>
      </w:r>
      <w:r>
        <w:rPr>
          <w:rFonts w:ascii="Traditional Arabic" w:eastAsia="Calibri" w:hAnsi="Traditional Arabic" w:cs="Traditional Arabic" w:hint="cs"/>
          <w:sz w:val="40"/>
          <w:szCs w:val="40"/>
          <w:rtl/>
        </w:rPr>
        <w:t>م</w:t>
      </w:r>
      <w:r w:rsidR="00286DB0" w:rsidRPr="00C406BC">
        <w:rPr>
          <w:rFonts w:ascii="Traditional Arabic" w:eastAsia="Calibri" w:hAnsi="Traditional Arabic" w:cs="Traditional Arabic"/>
          <w:sz w:val="40"/>
          <w:szCs w:val="40"/>
          <w:rtl/>
        </w:rPr>
        <w:t>صرفي ينشأ نتيجة علاقات تجارية سابقة بين المتعاملين من خلال الأوراق التجارية، حيث يتم تحرير</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تظهير الورقة التجارية لسداد دين سابق</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ومن ثم، ينشأ التزام جديد ي</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لزم الموق</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ع على الورقة التجارية بالوفاء بقيمتها في الميعاد المحدد لاستحقاقها، وتتشكل علاقتان تربط بين الدائن</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والمدين</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العلاقة الأصلية التي يُصبح المدين بموجبها ملتزماً بالثمن</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بقيمة القرض</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التعويض، وتخضع هذه العلاقة للقواعد العامة في القوانين التجارية</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والمدنية. بالإضافة إلى العلاقة الأصلية، تنشأ علاقة صرفية عند تحرير</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تظهير الورقة التجارية</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حيث يُلزم الموقع على الورقة التجارية بالسداد، ويُخضع التزامه لقانون الصرف</w:t>
      </w:r>
      <w:r w:rsidR="00286DB0" w:rsidRPr="00C406BC">
        <w:rPr>
          <w:rFonts w:ascii="Traditional Arabic" w:eastAsia="Calibri" w:hAnsi="Traditional Arabic" w:cs="Traditional Arabic"/>
          <w:sz w:val="40"/>
          <w:szCs w:val="40"/>
          <w:lang w:bidi="ar-EG"/>
        </w:rPr>
        <w:t>.</w:t>
      </w:r>
      <w:r w:rsidR="00286DB0" w:rsidRPr="00C406BC">
        <w:rPr>
          <w:rFonts w:ascii="Traditional Arabic" w:eastAsia="Calibri" w:hAnsi="Traditional Arabic" w:cs="Traditional Arabic"/>
          <w:sz w:val="40"/>
          <w:szCs w:val="40"/>
          <w:vertAlign w:val="superscript"/>
          <w:lang w:bidi="ar-EG"/>
        </w:rPr>
        <w:footnoteReference w:id="36"/>
      </w:r>
    </w:p>
    <w:p w14:paraId="2320B4EB" w14:textId="533EAC45" w:rsidR="00286DB0" w:rsidRPr="00C406BC" w:rsidRDefault="00286DB0" w:rsidP="00C406BC">
      <w:pPr>
        <w:spacing w:after="240" w:line="360" w:lineRule="auto"/>
        <w:ind w:firstLine="720"/>
        <w:jc w:val="both"/>
        <w:rPr>
          <w:rFonts w:ascii="Traditional Arabic" w:eastAsia="Calibri" w:hAnsi="Traditional Arabic" w:cs="Traditional Arabic"/>
          <w:sz w:val="40"/>
          <w:szCs w:val="40"/>
          <w:lang w:bidi="ar-EG"/>
        </w:rPr>
      </w:pPr>
      <w:r w:rsidRPr="00C406BC">
        <w:rPr>
          <w:rFonts w:ascii="Traditional Arabic" w:eastAsia="Calibri" w:hAnsi="Traditional Arabic" w:cs="Traditional Arabic"/>
          <w:sz w:val="40"/>
          <w:szCs w:val="40"/>
          <w:rtl/>
        </w:rPr>
        <w:t>يثير الالتزام الصرفي جدلاً بين الفقهاء حول آثاره على الالتزام الأصلي؛ هل يُلغي أحدهما الآخر؟ يُحمي حامل الورقة التجارية دعويان</w:t>
      </w:r>
      <w:r w:rsidR="004224CB">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الدعوى الأصلية للالتزام الأصلي</w:t>
      </w:r>
      <w:r w:rsidR="004224CB">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والدعوى الصرفية </w:t>
      </w:r>
      <w:r w:rsidRPr="00C406BC">
        <w:rPr>
          <w:rFonts w:ascii="Traditional Arabic" w:eastAsia="Calibri" w:hAnsi="Traditional Arabic" w:cs="Traditional Arabic"/>
          <w:sz w:val="40"/>
          <w:szCs w:val="40"/>
          <w:rtl/>
        </w:rPr>
        <w:lastRenderedPageBreak/>
        <w:t>للالتزام الصرفي يثير تأثير التعامل في الورقة التجارية على الدين الأصلي جدلاً فقهيًا بسبب ارتباط العلاقة الصرفية بالعلاقة الأصلية</w:t>
      </w:r>
      <w:r w:rsidRPr="00C406BC">
        <w:rPr>
          <w:rFonts w:ascii="Traditional Arabic" w:eastAsia="Calibri" w:hAnsi="Traditional Arabic" w:cs="Traditional Arabic"/>
          <w:sz w:val="40"/>
          <w:szCs w:val="40"/>
          <w:lang w:bidi="ar-EG"/>
        </w:rPr>
        <w:t>.</w:t>
      </w:r>
      <w:r w:rsidRPr="00C406BC">
        <w:rPr>
          <w:rFonts w:ascii="Traditional Arabic" w:eastAsia="Calibri" w:hAnsi="Traditional Arabic" w:cs="Traditional Arabic"/>
          <w:sz w:val="40"/>
          <w:szCs w:val="40"/>
          <w:vertAlign w:val="superscript"/>
          <w:lang w:bidi="ar-EG"/>
        </w:rPr>
        <w:footnoteReference w:id="37"/>
      </w:r>
    </w:p>
    <w:p w14:paraId="38C97210" w14:textId="728F177A" w:rsidR="00286DB0" w:rsidRPr="00C406BC" w:rsidRDefault="00286DB0" w:rsidP="00C406BC">
      <w:pPr>
        <w:spacing w:after="240" w:line="360" w:lineRule="auto"/>
        <w:ind w:firstLine="720"/>
        <w:jc w:val="both"/>
        <w:rPr>
          <w:rFonts w:ascii="Traditional Arabic" w:eastAsia="Calibri" w:hAnsi="Traditional Arabic" w:cs="Traditional Arabic"/>
          <w:sz w:val="40"/>
          <w:szCs w:val="40"/>
          <w:rtl/>
          <w:lang w:bidi="ar-EG"/>
        </w:rPr>
      </w:pPr>
      <w:r w:rsidRPr="00C406BC">
        <w:rPr>
          <w:rFonts w:ascii="Traditional Arabic" w:eastAsia="Calibri" w:hAnsi="Traditional Arabic" w:cs="Traditional Arabic"/>
          <w:sz w:val="40"/>
          <w:szCs w:val="40"/>
          <w:rtl/>
        </w:rPr>
        <w:t xml:space="preserve">وتناولت نظريات ثلاث الالتزام الصرفي، لكل منها أسس خاصة بها وتعرضت لانتقادات، ولكننا هنا سنقتصر على الالتزام الصرفي </w:t>
      </w:r>
      <w:r w:rsidR="004224CB" w:rsidRPr="00C406BC">
        <w:rPr>
          <w:rFonts w:ascii="Traditional Arabic" w:eastAsia="Calibri" w:hAnsi="Traditional Arabic" w:cs="Traditional Arabic" w:hint="cs"/>
          <w:sz w:val="40"/>
          <w:szCs w:val="40"/>
          <w:rtl/>
        </w:rPr>
        <w:t>الناشئ</w:t>
      </w:r>
      <w:r w:rsidRPr="00C406BC">
        <w:rPr>
          <w:rFonts w:ascii="Traditional Arabic" w:eastAsia="Calibri" w:hAnsi="Traditional Arabic" w:cs="Traditional Arabic"/>
          <w:sz w:val="40"/>
          <w:szCs w:val="40"/>
          <w:rtl/>
        </w:rPr>
        <w:t xml:space="preserve"> عن طريق تحرير الشيك، حيث ينص القانون على أنه طالما التزم المدين بدفع قيمة الشيك</w:t>
      </w:r>
      <w:r w:rsidR="004224CB">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فإنه لا يبرأ من التزامه إلا بالوفاء بقيمة الورقة في ميعاد استحقاقها، ومع ذلك، يُمكن لحامل الشيك أن يُفلت من التزامه إذا أهمل في القيام بأحد الواجبات المفروضة عليه وفي المواعيد المحددة</w:t>
      </w:r>
      <w:r w:rsidRPr="00C406BC">
        <w:rPr>
          <w:rFonts w:ascii="Traditional Arabic" w:eastAsia="Calibri" w:hAnsi="Traditional Arabic" w:cs="Traditional Arabic"/>
          <w:sz w:val="40"/>
          <w:szCs w:val="40"/>
          <w:lang w:bidi="ar-EG"/>
        </w:rPr>
        <w:t>.</w:t>
      </w:r>
      <w:r w:rsidRPr="00C406BC">
        <w:rPr>
          <w:rFonts w:ascii="Traditional Arabic" w:eastAsia="Calibri" w:hAnsi="Traditional Arabic" w:cs="Traditional Arabic"/>
          <w:sz w:val="40"/>
          <w:szCs w:val="40"/>
          <w:vertAlign w:val="superscript"/>
          <w:lang w:bidi="ar-EG"/>
        </w:rPr>
        <w:footnoteReference w:id="38"/>
      </w:r>
    </w:p>
    <w:p w14:paraId="722B9BDA" w14:textId="77777777" w:rsidR="00286DB0" w:rsidRPr="00C406BC" w:rsidRDefault="00286DB0" w:rsidP="00C406BC">
      <w:pPr>
        <w:spacing w:after="240" w:line="360" w:lineRule="auto"/>
        <w:ind w:firstLine="720"/>
        <w:jc w:val="both"/>
        <w:rPr>
          <w:rFonts w:ascii="Traditional Arabic" w:eastAsia="Calibri" w:hAnsi="Traditional Arabic" w:cs="Traditional Arabic"/>
          <w:sz w:val="40"/>
          <w:szCs w:val="40"/>
          <w:rtl/>
          <w:lang w:bidi="ar-EG"/>
        </w:rPr>
      </w:pPr>
    </w:p>
    <w:p w14:paraId="27EBACDE" w14:textId="77777777" w:rsidR="00C406BC" w:rsidRPr="00C406BC" w:rsidRDefault="00C406BC" w:rsidP="00C406BC">
      <w:pPr>
        <w:spacing w:after="240" w:line="360" w:lineRule="auto"/>
        <w:ind w:firstLine="720"/>
        <w:jc w:val="both"/>
        <w:rPr>
          <w:rFonts w:ascii="Traditional Arabic" w:eastAsia="Calibri" w:hAnsi="Traditional Arabic" w:cs="Traditional Arabic"/>
          <w:sz w:val="40"/>
          <w:szCs w:val="40"/>
          <w:rtl/>
          <w:lang w:bidi="ar-EG"/>
        </w:rPr>
      </w:pPr>
    </w:p>
    <w:p w14:paraId="175391F3" w14:textId="77777777" w:rsidR="00C406BC" w:rsidRPr="00C406BC" w:rsidRDefault="00C406BC" w:rsidP="00C406BC">
      <w:pPr>
        <w:spacing w:after="240" w:line="360" w:lineRule="auto"/>
        <w:ind w:firstLine="720"/>
        <w:jc w:val="both"/>
        <w:rPr>
          <w:rFonts w:ascii="Traditional Arabic" w:eastAsia="Calibri" w:hAnsi="Traditional Arabic" w:cs="Traditional Arabic"/>
          <w:sz w:val="40"/>
          <w:szCs w:val="40"/>
          <w:rtl/>
          <w:lang w:bidi="ar-EG"/>
        </w:rPr>
      </w:pPr>
    </w:p>
    <w:p w14:paraId="2329AFB9" w14:textId="77777777" w:rsidR="00286DB0" w:rsidRPr="004224CB" w:rsidRDefault="00286DB0" w:rsidP="00C406BC">
      <w:pPr>
        <w:spacing w:after="240" w:line="360" w:lineRule="auto"/>
        <w:ind w:firstLine="720"/>
        <w:jc w:val="both"/>
        <w:rPr>
          <w:rFonts w:ascii="Traditional Arabic" w:eastAsia="Calibri" w:hAnsi="Traditional Arabic" w:cs="Traditional Arabic"/>
          <w:sz w:val="40"/>
          <w:szCs w:val="40"/>
          <w:lang w:bidi="ar-EG"/>
        </w:rPr>
      </w:pPr>
      <w:r w:rsidRPr="004224CB">
        <w:rPr>
          <w:rFonts w:ascii="Traditional Arabic" w:eastAsia="Calibri" w:hAnsi="Traditional Arabic" w:cs="Traditional Arabic"/>
          <w:sz w:val="40"/>
          <w:szCs w:val="40"/>
          <w:rtl/>
        </w:rPr>
        <w:lastRenderedPageBreak/>
        <w:t>الفرع الثاني: الدعاوى الخاضعة للتقادم الصرفي</w:t>
      </w:r>
    </w:p>
    <w:p w14:paraId="114712DE" w14:textId="126C77D6" w:rsidR="00286DB0" w:rsidRPr="00C406BC" w:rsidRDefault="00286DB0" w:rsidP="00C406BC">
      <w:pPr>
        <w:spacing w:after="240" w:line="360" w:lineRule="auto"/>
        <w:ind w:firstLine="720"/>
        <w:jc w:val="both"/>
        <w:rPr>
          <w:rFonts w:ascii="Traditional Arabic" w:eastAsia="Calibri" w:hAnsi="Traditional Arabic" w:cs="Traditional Arabic"/>
          <w:sz w:val="40"/>
          <w:szCs w:val="40"/>
          <w:lang w:bidi="ar-EG"/>
        </w:rPr>
      </w:pPr>
      <w:r w:rsidRPr="00C406BC">
        <w:rPr>
          <w:rFonts w:ascii="Traditional Arabic" w:eastAsia="Calibri" w:hAnsi="Traditional Arabic" w:cs="Traditional Arabic"/>
          <w:sz w:val="40"/>
          <w:szCs w:val="40"/>
          <w:rtl/>
        </w:rPr>
        <w:t>عندما يتعلق الأمر بش</w:t>
      </w:r>
      <w:r w:rsidR="004224CB">
        <w:rPr>
          <w:rFonts w:ascii="Traditional Arabic" w:eastAsia="Calibri" w:hAnsi="Traditional Arabic" w:cs="Traditional Arabic" w:hint="cs"/>
          <w:sz w:val="40"/>
          <w:szCs w:val="40"/>
          <w:rtl/>
        </w:rPr>
        <w:t xml:space="preserve">أن </w:t>
      </w:r>
      <w:r w:rsidRPr="00C406BC">
        <w:rPr>
          <w:rFonts w:ascii="Traditional Arabic" w:eastAsia="Calibri" w:hAnsi="Traditional Arabic" w:cs="Traditional Arabic"/>
          <w:sz w:val="40"/>
          <w:szCs w:val="40"/>
          <w:rtl/>
        </w:rPr>
        <w:t>الدعاوى الخاضعة للتقادم الصرفي،</w:t>
      </w:r>
      <w:r w:rsidR="004224CB">
        <w:rPr>
          <w:rFonts w:ascii="Traditional Arabic" w:eastAsia="Calibri" w:hAnsi="Traditional Arabic" w:cs="Traditional Arabic" w:hint="cs"/>
          <w:sz w:val="40"/>
          <w:szCs w:val="40"/>
          <w:rtl/>
        </w:rPr>
        <w:t xml:space="preserve"> فإنه</w:t>
      </w:r>
      <w:r w:rsidRPr="00C406BC">
        <w:rPr>
          <w:rFonts w:ascii="Traditional Arabic" w:eastAsia="Calibri" w:hAnsi="Traditional Arabic" w:cs="Traditional Arabic"/>
          <w:sz w:val="40"/>
          <w:szCs w:val="40"/>
          <w:rtl/>
        </w:rPr>
        <w:t xml:space="preserve"> يُنظر إلى المادة (١١٦) التي تنص على عدم سماع الدعوى قبل انقضاء المدة اللازمة لإقامتها</w:t>
      </w:r>
      <w:r w:rsidR="004224CB">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w:t>
      </w:r>
      <w:r w:rsidR="004224CB">
        <w:rPr>
          <w:rFonts w:ascii="Traditional Arabic" w:eastAsia="Calibri" w:hAnsi="Traditional Arabic" w:cs="Traditional Arabic" w:hint="cs"/>
          <w:sz w:val="40"/>
          <w:szCs w:val="40"/>
          <w:rtl/>
        </w:rPr>
        <w:t>ف</w:t>
      </w:r>
      <w:r w:rsidRPr="00C406BC">
        <w:rPr>
          <w:rFonts w:ascii="Traditional Arabic" w:eastAsia="Calibri" w:hAnsi="Traditional Arabic" w:cs="Traditional Arabic"/>
          <w:sz w:val="40"/>
          <w:szCs w:val="40"/>
          <w:rtl/>
        </w:rPr>
        <w:t>تشير هذه المادة إلى سريان مبدأ عدم سماع الدعوى على كل دعوى متعلقة بالشيك قبل انقضاء المدة اللازمة لإقامة الدعوى</w:t>
      </w:r>
      <w:r w:rsidRPr="00C406BC">
        <w:rPr>
          <w:rFonts w:ascii="Traditional Arabic" w:eastAsia="Calibri" w:hAnsi="Traditional Arabic" w:cs="Traditional Arabic"/>
          <w:sz w:val="40"/>
          <w:szCs w:val="40"/>
          <w:lang w:bidi="ar-EG"/>
        </w:rPr>
        <w:t>.</w:t>
      </w:r>
    </w:p>
    <w:p w14:paraId="6EAB8D23" w14:textId="0A233326" w:rsidR="00286DB0" w:rsidRPr="00C406BC" w:rsidRDefault="00286DB0" w:rsidP="00C406BC">
      <w:pPr>
        <w:spacing w:after="240" w:line="360" w:lineRule="auto"/>
        <w:ind w:firstLine="720"/>
        <w:jc w:val="both"/>
        <w:rPr>
          <w:rFonts w:ascii="Traditional Arabic" w:eastAsia="Calibri" w:hAnsi="Traditional Arabic" w:cs="Traditional Arabic"/>
          <w:sz w:val="40"/>
          <w:szCs w:val="40"/>
          <w:lang w:bidi="ar-EG"/>
        </w:rPr>
      </w:pPr>
      <w:r w:rsidRPr="00C406BC">
        <w:rPr>
          <w:rFonts w:ascii="Traditional Arabic" w:eastAsia="Calibri" w:hAnsi="Traditional Arabic" w:cs="Traditional Arabic"/>
          <w:sz w:val="40"/>
          <w:szCs w:val="40"/>
          <w:rtl/>
        </w:rPr>
        <w:t>ومن الملاحظ أن معظم القوانين التجارية، مثل القانون التجاري الفرنسي، يُطبق التقادم الصرفي على جميع الدعاوى المتعلقة بالكمبيالات</w:t>
      </w:r>
      <w:r w:rsidR="004224CB">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أو </w:t>
      </w:r>
      <w:r w:rsidR="005853A6" w:rsidRPr="00C406BC">
        <w:rPr>
          <w:rFonts w:ascii="Traditional Arabic" w:eastAsia="Calibri" w:hAnsi="Traditional Arabic" w:cs="Traditional Arabic" w:hint="cs"/>
          <w:sz w:val="40"/>
          <w:szCs w:val="40"/>
          <w:rtl/>
        </w:rPr>
        <w:t>السندات</w:t>
      </w:r>
      <w:r w:rsidR="005853A6">
        <w:rPr>
          <w:rFonts w:ascii="Traditional Arabic" w:eastAsia="Calibri" w:hAnsi="Traditional Arabic" w:cs="Traditional Arabic" w:hint="cs"/>
          <w:sz w:val="40"/>
          <w:szCs w:val="40"/>
          <w:rtl/>
        </w:rPr>
        <w:t xml:space="preserve">، </w:t>
      </w:r>
      <w:r w:rsidR="005853A6" w:rsidRPr="00C406BC">
        <w:rPr>
          <w:rFonts w:ascii="Traditional Arabic" w:eastAsia="Calibri" w:hAnsi="Traditional Arabic" w:cs="Traditional Arabic" w:hint="cs"/>
          <w:sz w:val="40"/>
          <w:szCs w:val="40"/>
          <w:rtl/>
        </w:rPr>
        <w:t>ولكن</w:t>
      </w:r>
      <w:r w:rsidRPr="00C406BC">
        <w:rPr>
          <w:rFonts w:ascii="Traditional Arabic" w:eastAsia="Calibri" w:hAnsi="Traditional Arabic" w:cs="Traditional Arabic"/>
          <w:sz w:val="40"/>
          <w:szCs w:val="40"/>
          <w:rtl/>
        </w:rPr>
        <w:t xml:space="preserve"> كان هناك جدل في الفقه حول المعايير التي تحدد التقادم الصرفي، سواءً كانت معايير موضوعية تستند إلى الطبيعة الصرفية للحق</w:t>
      </w:r>
      <w:r w:rsidR="004224CB">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أو معايير شكلية تخضع للتقادم الصرفي بغض النظر عن طبيعة الحق المطالب به</w:t>
      </w:r>
      <w:r w:rsidRPr="00C406BC">
        <w:rPr>
          <w:rFonts w:ascii="Traditional Arabic" w:eastAsia="Calibri" w:hAnsi="Traditional Arabic" w:cs="Traditional Arabic"/>
          <w:sz w:val="40"/>
          <w:szCs w:val="40"/>
          <w:lang w:bidi="ar-EG"/>
        </w:rPr>
        <w:t>.</w:t>
      </w:r>
      <w:r w:rsidRPr="00C406BC">
        <w:rPr>
          <w:rFonts w:ascii="Traditional Arabic" w:eastAsia="Calibri" w:hAnsi="Traditional Arabic" w:cs="Traditional Arabic"/>
          <w:sz w:val="40"/>
          <w:szCs w:val="40"/>
          <w:vertAlign w:val="superscript"/>
          <w:lang w:bidi="ar-EG"/>
        </w:rPr>
        <w:footnoteReference w:id="39"/>
      </w:r>
    </w:p>
    <w:p w14:paraId="46526449" w14:textId="188D660E" w:rsidR="00286DB0" w:rsidRPr="00C406BC" w:rsidRDefault="00286DB0" w:rsidP="00C406BC">
      <w:pPr>
        <w:spacing w:after="240" w:line="360" w:lineRule="auto"/>
        <w:ind w:firstLine="720"/>
        <w:jc w:val="both"/>
        <w:rPr>
          <w:rFonts w:ascii="Traditional Arabic" w:eastAsia="Calibri" w:hAnsi="Traditional Arabic" w:cs="Traditional Arabic"/>
          <w:sz w:val="40"/>
          <w:szCs w:val="40"/>
          <w:lang w:bidi="ar-EG"/>
        </w:rPr>
      </w:pPr>
      <w:r w:rsidRPr="00695A8D">
        <w:rPr>
          <w:rFonts w:ascii="Traditional Arabic" w:eastAsia="Calibri" w:hAnsi="Traditional Arabic" w:cs="Traditional Arabic"/>
          <w:sz w:val="40"/>
          <w:szCs w:val="40"/>
          <w:rtl/>
        </w:rPr>
        <w:t xml:space="preserve">وبناءً على هذا الجدل، </w:t>
      </w:r>
      <w:r w:rsidRPr="00C406BC">
        <w:rPr>
          <w:rFonts w:ascii="Traditional Arabic" w:eastAsia="Calibri" w:hAnsi="Traditional Arabic" w:cs="Traditional Arabic"/>
          <w:sz w:val="40"/>
          <w:szCs w:val="40"/>
          <w:rtl/>
        </w:rPr>
        <w:t>فإن هناك اتفاقًا بين الفقه</w:t>
      </w:r>
      <w:r w:rsidR="004224CB">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والقضاء على إخضاع كافة الدعاوى الصرفية الناشئة عن الكمبيالات</w:t>
      </w:r>
      <w:r w:rsidR="004224CB">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أو السندات للتقادم الصرفي، بما في ذلك الدعاوى التي تخص </w:t>
      </w:r>
      <w:r w:rsidRPr="00C406BC">
        <w:rPr>
          <w:rFonts w:ascii="Traditional Arabic" w:eastAsia="Calibri" w:hAnsi="Traditional Arabic" w:cs="Traditional Arabic"/>
          <w:sz w:val="40"/>
          <w:szCs w:val="40"/>
          <w:rtl/>
        </w:rPr>
        <w:lastRenderedPageBreak/>
        <w:t>الشيكات</w:t>
      </w:r>
      <w:r w:rsidR="004224CB">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وفيما يتعلق بالدعاوى المتعلقة بالشيكات، تخضع لمبدأ عدم سماع الدعوى تلك الدعاوى التي يقيمها الحامل على الساحب، أو المظهرين، أو الأطراف الأخرى في الشيك</w:t>
      </w:r>
      <w:r w:rsidRPr="00C406BC">
        <w:rPr>
          <w:rFonts w:ascii="Traditional Arabic" w:eastAsia="Calibri" w:hAnsi="Traditional Arabic" w:cs="Traditional Arabic"/>
          <w:sz w:val="40"/>
          <w:szCs w:val="40"/>
          <w:lang w:bidi="ar-EG"/>
        </w:rPr>
        <w:t>.</w:t>
      </w:r>
    </w:p>
    <w:p w14:paraId="61DE2600" w14:textId="4AFD99E5" w:rsidR="00286DB0" w:rsidRPr="00C406BC" w:rsidRDefault="004224CB" w:rsidP="00C406BC">
      <w:pPr>
        <w:spacing w:after="240" w:line="360" w:lineRule="auto"/>
        <w:ind w:firstLine="720"/>
        <w:jc w:val="both"/>
        <w:rPr>
          <w:rFonts w:ascii="Traditional Arabic" w:eastAsia="Calibri" w:hAnsi="Traditional Arabic" w:cs="Traditional Arabic"/>
          <w:sz w:val="40"/>
          <w:szCs w:val="40"/>
          <w:lang w:bidi="ar-EG"/>
        </w:rPr>
      </w:pPr>
      <w:r>
        <w:rPr>
          <w:rFonts w:ascii="Traditional Arabic" w:eastAsia="Calibri" w:hAnsi="Traditional Arabic" w:cs="Traditional Arabic" w:hint="cs"/>
          <w:sz w:val="40"/>
          <w:szCs w:val="40"/>
          <w:rtl/>
        </w:rPr>
        <w:t xml:space="preserve">إن مما </w:t>
      </w:r>
      <w:r w:rsidR="00286DB0" w:rsidRPr="00C406BC">
        <w:rPr>
          <w:rFonts w:ascii="Traditional Arabic" w:eastAsia="Calibri" w:hAnsi="Traditional Arabic" w:cs="Traditional Arabic"/>
          <w:sz w:val="40"/>
          <w:szCs w:val="40"/>
          <w:rtl/>
        </w:rPr>
        <w:t xml:space="preserve">يجب أن </w:t>
      </w:r>
      <w:r>
        <w:rPr>
          <w:rFonts w:ascii="Traditional Arabic" w:eastAsia="Calibri" w:hAnsi="Traditional Arabic" w:cs="Traditional Arabic" w:hint="cs"/>
          <w:sz w:val="40"/>
          <w:szCs w:val="40"/>
          <w:rtl/>
        </w:rPr>
        <w:t>ي</w:t>
      </w:r>
      <w:r w:rsidR="00286DB0" w:rsidRPr="00C406BC">
        <w:rPr>
          <w:rFonts w:ascii="Traditional Arabic" w:eastAsia="Calibri" w:hAnsi="Traditional Arabic" w:cs="Traditional Arabic"/>
          <w:sz w:val="40"/>
          <w:szCs w:val="40"/>
          <w:rtl/>
        </w:rPr>
        <w:t>لاحظ أن هذه الدعاوى تخضع للمعيار الذي ينص على أنه متى نشأت الدعوى مباشرة عن الورقة التجارية، فإنها تخضع للتقادم الصرفي، ولذلك يطالب المدعي حقه مباشرة من الورقة، ويتعين على المدعى عليه أن يوفي بالمطالبة التي تنشأ من توقيعه على الورقة، وهناك أنواع أخرى من الدعاوى التي تنشأ بمناسبة الشيك، لكن لا تتصل بها اتصالًا مباشرًا، وبالتالي فهي لا تخضع للتقادم الصرفي، بل تخضع للقواعد العامة في الشريعة الإسلامية</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لأحكام التقادم العادي في القانون الوضعي، مثل الدعاوى التي تقيمها الشخص الذي أقرض آخر مبلغًا من المال ليتمكن من الوفاء بقيمة الشيك</w:t>
      </w:r>
      <w:r w:rsidR="00286DB0" w:rsidRPr="00C406BC">
        <w:rPr>
          <w:rFonts w:ascii="Traditional Arabic" w:eastAsia="Calibri" w:hAnsi="Traditional Arabic" w:cs="Traditional Arabic"/>
          <w:sz w:val="40"/>
          <w:szCs w:val="40"/>
          <w:lang w:bidi="ar-EG"/>
        </w:rPr>
        <w:t>.</w:t>
      </w:r>
      <w:r w:rsidR="00286DB0" w:rsidRPr="00C406BC">
        <w:rPr>
          <w:rFonts w:ascii="Traditional Arabic" w:eastAsia="Calibri" w:hAnsi="Traditional Arabic" w:cs="Traditional Arabic"/>
          <w:sz w:val="40"/>
          <w:szCs w:val="40"/>
          <w:vertAlign w:val="superscript"/>
          <w:lang w:bidi="ar-EG"/>
        </w:rPr>
        <w:footnoteReference w:id="40"/>
      </w:r>
    </w:p>
    <w:p w14:paraId="2264B3E8" w14:textId="5ABD360B" w:rsidR="00286DB0" w:rsidRPr="00C406BC" w:rsidRDefault="00286DB0" w:rsidP="00C406BC">
      <w:pPr>
        <w:spacing w:after="240" w:line="360" w:lineRule="auto"/>
        <w:ind w:firstLine="720"/>
        <w:jc w:val="both"/>
        <w:rPr>
          <w:rFonts w:ascii="Traditional Arabic" w:eastAsia="Calibri" w:hAnsi="Traditional Arabic" w:cs="Traditional Arabic"/>
          <w:sz w:val="40"/>
          <w:szCs w:val="40"/>
          <w:lang w:bidi="ar-EG"/>
        </w:rPr>
      </w:pPr>
      <w:r w:rsidRPr="00C406BC">
        <w:rPr>
          <w:rFonts w:ascii="Traditional Arabic" w:eastAsia="Calibri" w:hAnsi="Traditional Arabic" w:cs="Traditional Arabic"/>
          <w:sz w:val="40"/>
          <w:szCs w:val="40"/>
          <w:rtl/>
        </w:rPr>
        <w:t xml:space="preserve">ومن الجدير بالذكر أن الدعاوى التي يقيمها المسحوب عليه على الساحب تختلف في التعامل معها، وقد أجمع الفقه على استبعاد أحكام التقادم الصرفي عن تلك الدعاوى، وتُخضع </w:t>
      </w:r>
      <w:r w:rsidRPr="00C406BC">
        <w:rPr>
          <w:rFonts w:ascii="Traditional Arabic" w:eastAsia="Calibri" w:hAnsi="Traditional Arabic" w:cs="Traditional Arabic"/>
          <w:sz w:val="40"/>
          <w:szCs w:val="40"/>
          <w:rtl/>
        </w:rPr>
        <w:lastRenderedPageBreak/>
        <w:t>لأحكام عدم سماع الدعوى</w:t>
      </w:r>
      <w:r w:rsidR="00096C47">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وغيرها من القواعد التي تقررها الشريعة الإسلامية</w:t>
      </w:r>
      <w:r w:rsidR="00096C47">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أو أحكام التقادم العادي في القانون الوضعي</w:t>
      </w:r>
      <w:r w:rsidRPr="00C406BC">
        <w:rPr>
          <w:rFonts w:ascii="Traditional Arabic" w:eastAsia="Calibri" w:hAnsi="Traditional Arabic" w:cs="Traditional Arabic"/>
          <w:sz w:val="40"/>
          <w:szCs w:val="40"/>
          <w:lang w:bidi="ar-EG"/>
        </w:rPr>
        <w:t>.</w:t>
      </w:r>
    </w:p>
    <w:p w14:paraId="0C567FF6" w14:textId="2D3EE4E1" w:rsidR="00286DB0" w:rsidRPr="00C406BC" w:rsidRDefault="00286DB0" w:rsidP="00C406BC">
      <w:pPr>
        <w:pStyle w:val="1"/>
        <w:spacing w:line="360" w:lineRule="auto"/>
        <w:ind w:firstLine="720"/>
        <w:jc w:val="center"/>
        <w:rPr>
          <w:rFonts w:ascii="Traditional Arabic" w:eastAsia="Calibri" w:hAnsi="Traditional Arabic" w:cs="Traditional Arabic"/>
          <w:b/>
          <w:bCs/>
          <w:color w:val="auto"/>
          <w:sz w:val="40"/>
          <w:szCs w:val="40"/>
        </w:rPr>
      </w:pPr>
      <w:bookmarkStart w:id="30" w:name="_Toc168891650"/>
      <w:r w:rsidRPr="00E6021F">
        <w:rPr>
          <w:rFonts w:ascii="Traditional Arabic" w:eastAsia="Calibri" w:hAnsi="Traditional Arabic" w:cs="Traditional Arabic"/>
          <w:b/>
          <w:bCs/>
          <w:color w:val="auto"/>
          <w:sz w:val="40"/>
          <w:szCs w:val="40"/>
        </w:rPr>
        <w:t xml:space="preserve">المطلب </w:t>
      </w:r>
      <w:r w:rsidR="00E6021F" w:rsidRPr="00E6021F">
        <w:rPr>
          <w:rFonts w:ascii="Traditional Arabic" w:eastAsia="Calibri" w:hAnsi="Traditional Arabic" w:cs="Traditional Arabic" w:hint="cs"/>
          <w:b/>
          <w:bCs/>
          <w:color w:val="auto"/>
          <w:sz w:val="40"/>
          <w:szCs w:val="40"/>
        </w:rPr>
        <w:t xml:space="preserve">الثاني: </w:t>
      </w:r>
      <w:bookmarkStart w:id="31" w:name="_Hlk181168816"/>
      <w:r w:rsidR="00E6021F" w:rsidRPr="00E6021F">
        <w:rPr>
          <w:rFonts w:ascii="Traditional Arabic" w:eastAsia="Calibri" w:hAnsi="Traditional Arabic" w:cs="Traditional Arabic" w:hint="cs"/>
          <w:b/>
          <w:bCs/>
          <w:color w:val="auto"/>
          <w:sz w:val="40"/>
          <w:szCs w:val="40"/>
        </w:rPr>
        <w:t>الاستثناءات</w:t>
      </w:r>
      <w:r w:rsidRPr="00C406BC">
        <w:rPr>
          <w:rFonts w:ascii="Traditional Arabic" w:eastAsia="Calibri" w:hAnsi="Traditional Arabic" w:cs="Traditional Arabic"/>
          <w:b/>
          <w:bCs/>
          <w:color w:val="auto"/>
          <w:sz w:val="40"/>
          <w:szCs w:val="40"/>
        </w:rPr>
        <w:t xml:space="preserve"> الواردة على المبدأ العام في مدونة التجارة</w:t>
      </w:r>
      <w:bookmarkEnd w:id="30"/>
      <w:bookmarkEnd w:id="31"/>
    </w:p>
    <w:p w14:paraId="6D77A814" w14:textId="0263CD68" w:rsidR="00286DB0" w:rsidRPr="007E5A20" w:rsidRDefault="00286DB0" w:rsidP="00C406BC">
      <w:pPr>
        <w:spacing w:after="240" w:line="360" w:lineRule="auto"/>
        <w:ind w:firstLine="720"/>
        <w:rPr>
          <w:rFonts w:ascii="Traditional Arabic" w:eastAsia="Calibri" w:hAnsi="Traditional Arabic" w:cs="Traditional Arabic"/>
          <w:sz w:val="40"/>
          <w:szCs w:val="40"/>
        </w:rPr>
      </w:pPr>
      <w:r w:rsidRPr="00C406BC">
        <w:rPr>
          <w:rFonts w:ascii="Traditional Arabic" w:eastAsia="Calibri" w:hAnsi="Traditional Arabic" w:cs="Traditional Arabic"/>
          <w:sz w:val="40"/>
          <w:szCs w:val="40"/>
          <w:rtl/>
        </w:rPr>
        <w:t>في نظام المحاكم التجارية السعودية، يُعتبر التقادم أحد الجوانب ال</w:t>
      </w:r>
      <w:r w:rsidR="00E6021F">
        <w:rPr>
          <w:rFonts w:ascii="Traditional Arabic" w:eastAsia="Calibri" w:hAnsi="Traditional Arabic" w:cs="Traditional Arabic" w:hint="cs"/>
          <w:sz w:val="40"/>
          <w:szCs w:val="40"/>
          <w:rtl/>
        </w:rPr>
        <w:t>مهمة</w:t>
      </w:r>
      <w:r w:rsidRPr="00C406BC">
        <w:rPr>
          <w:rFonts w:ascii="Traditional Arabic" w:eastAsia="Calibri" w:hAnsi="Traditional Arabic" w:cs="Traditional Arabic"/>
          <w:sz w:val="40"/>
          <w:szCs w:val="40"/>
          <w:rtl/>
        </w:rPr>
        <w:t xml:space="preserve"> في الإثبات، ويعتبر مبدأً عامًا في القانون، لكن هناك استثناءات على هذا المبدأ، والتي قد تؤثر على فترة </w:t>
      </w:r>
      <w:r w:rsidRPr="007E5A20">
        <w:rPr>
          <w:rFonts w:ascii="Traditional Arabic" w:eastAsia="Calibri" w:hAnsi="Traditional Arabic" w:cs="Traditional Arabic"/>
          <w:sz w:val="40"/>
          <w:szCs w:val="40"/>
          <w:rtl/>
        </w:rPr>
        <w:t>التقادم</w:t>
      </w:r>
      <w:r w:rsidR="00E6021F" w:rsidRPr="007E5A20">
        <w:rPr>
          <w:rFonts w:ascii="Traditional Arabic" w:eastAsia="Calibri" w:hAnsi="Traditional Arabic" w:cs="Traditional Arabic" w:hint="cs"/>
          <w:sz w:val="40"/>
          <w:szCs w:val="40"/>
          <w:rtl/>
        </w:rPr>
        <w:t>،</w:t>
      </w:r>
      <w:r w:rsidRPr="007E5A20">
        <w:rPr>
          <w:rFonts w:ascii="Traditional Arabic" w:eastAsia="Calibri" w:hAnsi="Traditional Arabic" w:cs="Traditional Arabic"/>
          <w:sz w:val="40"/>
          <w:szCs w:val="40"/>
          <w:rtl/>
        </w:rPr>
        <w:t xml:space="preserve"> أو تلغيها تمامًا في بعض الحالات</w:t>
      </w:r>
      <w:r w:rsidR="007E5A20" w:rsidRPr="007E5A20">
        <w:rPr>
          <w:rFonts w:ascii="Traditional Arabic" w:eastAsia="Calibri" w:hAnsi="Traditional Arabic" w:cs="Traditional Arabic" w:hint="cs"/>
          <w:sz w:val="40"/>
          <w:szCs w:val="40"/>
          <w:rtl/>
        </w:rPr>
        <w:t>،</w:t>
      </w:r>
      <w:r w:rsidRPr="007E5A20">
        <w:rPr>
          <w:rFonts w:ascii="Traditional Arabic" w:eastAsia="Calibri" w:hAnsi="Traditional Arabic" w:cs="Traditional Arabic"/>
          <w:sz w:val="40"/>
          <w:szCs w:val="40"/>
          <w:rtl/>
        </w:rPr>
        <w:t xml:space="preserve"> من هذه الاستثناءات</w:t>
      </w:r>
      <w:r w:rsidRPr="007E5A20">
        <w:rPr>
          <w:rFonts w:ascii="Traditional Arabic" w:eastAsia="Calibri" w:hAnsi="Traditional Arabic" w:cs="Traditional Arabic"/>
          <w:sz w:val="40"/>
          <w:szCs w:val="40"/>
        </w:rPr>
        <w:t>:</w:t>
      </w:r>
      <w:r w:rsidRPr="007E5A20">
        <w:rPr>
          <w:rFonts w:ascii="Traditional Arabic" w:eastAsia="Calibri" w:hAnsi="Traditional Arabic" w:cs="Traditional Arabic"/>
          <w:sz w:val="40"/>
          <w:szCs w:val="40"/>
          <w:vertAlign w:val="superscript"/>
        </w:rPr>
        <w:footnoteReference w:id="41"/>
      </w:r>
    </w:p>
    <w:p w14:paraId="2277EB72" w14:textId="65DAD9A6" w:rsidR="00286DB0" w:rsidRPr="007E5A20" w:rsidRDefault="007E5A20" w:rsidP="007E5A20">
      <w:pPr>
        <w:spacing w:after="240" w:line="360" w:lineRule="auto"/>
        <w:rPr>
          <w:rFonts w:ascii="Traditional Arabic" w:eastAsia="Calibri" w:hAnsi="Traditional Arabic" w:cs="Traditional Arabic"/>
          <w:sz w:val="40"/>
          <w:szCs w:val="40"/>
        </w:rPr>
      </w:pPr>
      <w:r w:rsidRPr="007E5A20">
        <w:rPr>
          <w:rFonts w:ascii="Traditional Arabic" w:eastAsia="Calibri" w:hAnsi="Traditional Arabic" w:cs="Traditional Arabic" w:hint="cs"/>
          <w:sz w:val="40"/>
          <w:szCs w:val="40"/>
          <w:rtl/>
        </w:rPr>
        <w:t>1-</w:t>
      </w:r>
      <w:bookmarkStart w:id="32" w:name="_Hlk181169072"/>
      <w:r w:rsidR="00286DB0" w:rsidRPr="007E5A20">
        <w:rPr>
          <w:rFonts w:ascii="Traditional Arabic" w:eastAsia="Calibri" w:hAnsi="Traditional Arabic" w:cs="Traditional Arabic"/>
          <w:sz w:val="40"/>
          <w:szCs w:val="40"/>
          <w:rtl/>
        </w:rPr>
        <w:t>الاستئناف</w:t>
      </w:r>
      <w:r>
        <w:rPr>
          <w:rFonts w:ascii="Traditional Arabic" w:eastAsia="Calibri" w:hAnsi="Traditional Arabic" w:cs="Traditional Arabic" w:hint="cs"/>
          <w:sz w:val="40"/>
          <w:szCs w:val="40"/>
          <w:rtl/>
        </w:rPr>
        <w:t>،</w:t>
      </w:r>
      <w:r w:rsidR="00286DB0" w:rsidRPr="007E5A20">
        <w:rPr>
          <w:rFonts w:ascii="Traditional Arabic" w:eastAsia="Calibri" w:hAnsi="Traditional Arabic" w:cs="Traditional Arabic"/>
          <w:sz w:val="40"/>
          <w:szCs w:val="40"/>
          <w:rtl/>
        </w:rPr>
        <w:t xml:space="preserve"> والطعن في الحكم</w:t>
      </w:r>
      <w:bookmarkEnd w:id="32"/>
      <w:r>
        <w:rPr>
          <w:rFonts w:ascii="Traditional Arabic" w:eastAsia="Calibri" w:hAnsi="Traditional Arabic" w:cs="Traditional Arabic"/>
          <w:sz w:val="40"/>
          <w:szCs w:val="40"/>
        </w:rPr>
        <w:t xml:space="preserve"> </w:t>
      </w:r>
      <w:r w:rsidR="00286DB0" w:rsidRPr="007E5A20">
        <w:rPr>
          <w:rFonts w:ascii="Traditional Arabic" w:eastAsia="Calibri" w:hAnsi="Traditional Arabic" w:cs="Traditional Arabic"/>
          <w:sz w:val="40"/>
          <w:szCs w:val="40"/>
        </w:rPr>
        <w:t xml:space="preserve">: </w:t>
      </w:r>
      <w:r w:rsidR="00286DB0" w:rsidRPr="00C406BC">
        <w:rPr>
          <w:rFonts w:ascii="Traditional Arabic" w:eastAsia="Calibri" w:hAnsi="Traditional Arabic" w:cs="Traditional Arabic"/>
          <w:sz w:val="40"/>
          <w:szCs w:val="40"/>
          <w:rtl/>
        </w:rPr>
        <w:t xml:space="preserve"> </w:t>
      </w:r>
      <w:r>
        <w:rPr>
          <w:rFonts w:ascii="Traditional Arabic" w:eastAsia="Calibri" w:hAnsi="Traditional Arabic" w:cs="Traditional Arabic" w:hint="cs"/>
          <w:sz w:val="40"/>
          <w:szCs w:val="40"/>
          <w:rtl/>
        </w:rPr>
        <w:t xml:space="preserve">يعتبر </w:t>
      </w:r>
      <w:r w:rsidR="00286DB0" w:rsidRPr="00C406BC">
        <w:rPr>
          <w:rFonts w:ascii="Traditional Arabic" w:eastAsia="Calibri" w:hAnsi="Traditional Arabic" w:cs="Traditional Arabic"/>
          <w:sz w:val="40"/>
          <w:szCs w:val="40"/>
          <w:rtl/>
        </w:rPr>
        <w:t>تقديم طعن</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استئناف ضد حكم محكمة، </w:t>
      </w:r>
      <w:r>
        <w:rPr>
          <w:rFonts w:ascii="Traditional Arabic" w:eastAsia="Calibri" w:hAnsi="Traditional Arabic" w:cs="Traditional Arabic" w:hint="cs"/>
          <w:sz w:val="40"/>
          <w:szCs w:val="40"/>
          <w:rtl/>
        </w:rPr>
        <w:t>من التصرفات التي توقف</w:t>
      </w:r>
      <w:r w:rsidR="00286DB0" w:rsidRPr="00C406BC">
        <w:rPr>
          <w:rFonts w:ascii="Traditional Arabic" w:eastAsia="Calibri" w:hAnsi="Traditional Arabic" w:cs="Traditional Arabic"/>
          <w:sz w:val="40"/>
          <w:szCs w:val="40"/>
          <w:rtl/>
        </w:rPr>
        <w:t xml:space="preserve"> تقادم الحق في تنفيذ الحكم حتى يتم البت في الطعن</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الاستئناف،</w:t>
      </w:r>
      <w:r>
        <w:rPr>
          <w:rFonts w:ascii="Traditional Arabic" w:eastAsia="Calibri" w:hAnsi="Traditional Arabic" w:cs="Traditional Arabic" w:hint="cs"/>
          <w:sz w:val="40"/>
          <w:szCs w:val="40"/>
          <w:rtl/>
        </w:rPr>
        <w:t xml:space="preserve"> في</w:t>
      </w:r>
      <w:r w:rsidR="00286DB0" w:rsidRPr="00C406BC">
        <w:rPr>
          <w:rFonts w:ascii="Traditional Arabic" w:eastAsia="Calibri" w:hAnsi="Traditional Arabic" w:cs="Traditional Arabic"/>
          <w:sz w:val="40"/>
          <w:szCs w:val="40"/>
          <w:rtl/>
        </w:rPr>
        <w:t>وقف تقادم الحق في تنفيذ الحكم حتى يتم البت في الاستئناف</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الطعن</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w:t>
      </w:r>
      <w:r>
        <w:rPr>
          <w:rFonts w:ascii="Traditional Arabic" w:eastAsia="Calibri" w:hAnsi="Traditional Arabic" w:cs="Traditional Arabic" w:hint="cs"/>
          <w:sz w:val="40"/>
          <w:szCs w:val="40"/>
          <w:rtl/>
        </w:rPr>
        <w:t>و</w:t>
      </w:r>
      <w:r w:rsidR="00286DB0" w:rsidRPr="00C406BC">
        <w:rPr>
          <w:rFonts w:ascii="Traditional Arabic" w:eastAsia="Calibri" w:hAnsi="Traditional Arabic" w:cs="Traditional Arabic"/>
          <w:sz w:val="40"/>
          <w:szCs w:val="40"/>
          <w:rtl/>
        </w:rPr>
        <w:t>هذا يعني أنه عند تقديم طعن</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استئناف ضد حكم صادر من محكمة، </w:t>
      </w:r>
      <w:r>
        <w:rPr>
          <w:rFonts w:ascii="Traditional Arabic" w:eastAsia="Calibri" w:hAnsi="Traditional Arabic" w:cs="Traditional Arabic" w:hint="cs"/>
          <w:sz w:val="40"/>
          <w:szCs w:val="40"/>
          <w:rtl/>
        </w:rPr>
        <w:t>ف</w:t>
      </w:r>
      <w:r w:rsidR="00286DB0" w:rsidRPr="00C406BC">
        <w:rPr>
          <w:rFonts w:ascii="Traditional Arabic" w:eastAsia="Calibri" w:hAnsi="Traditional Arabic" w:cs="Traditional Arabic"/>
          <w:sz w:val="40"/>
          <w:szCs w:val="40"/>
          <w:rtl/>
        </w:rPr>
        <w:t>لا يمكن تنفيذ الحكم حتى يتم الفصل في الطعن</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الاستئناف</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w:t>
      </w:r>
      <w:r>
        <w:rPr>
          <w:rFonts w:ascii="Traditional Arabic" w:eastAsia="Calibri" w:hAnsi="Traditional Arabic" w:cs="Traditional Arabic" w:hint="cs"/>
          <w:sz w:val="40"/>
          <w:szCs w:val="40"/>
          <w:rtl/>
        </w:rPr>
        <w:t>و</w:t>
      </w:r>
      <w:r w:rsidR="00286DB0" w:rsidRPr="00C406BC">
        <w:rPr>
          <w:rFonts w:ascii="Traditional Arabic" w:eastAsia="Calibri" w:hAnsi="Traditional Arabic" w:cs="Traditional Arabic"/>
          <w:sz w:val="40"/>
          <w:szCs w:val="40"/>
          <w:rtl/>
        </w:rPr>
        <w:t>إذا تم قبول الطعن</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الاستئناف، فإن الحكم الأصلي قد </w:t>
      </w:r>
      <w:r w:rsidR="00286DB0" w:rsidRPr="00C406BC">
        <w:rPr>
          <w:rFonts w:ascii="Traditional Arabic" w:eastAsia="Calibri" w:hAnsi="Traditional Arabic" w:cs="Traditional Arabic"/>
          <w:sz w:val="40"/>
          <w:szCs w:val="40"/>
          <w:rtl/>
        </w:rPr>
        <w:lastRenderedPageBreak/>
        <w:t>يتغير</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يُلغى، وفي هذه الحالة يتم تنفيذ الحكم الجديد بدلاً من الحكم السابق</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w:t>
      </w:r>
      <w:r>
        <w:rPr>
          <w:rFonts w:ascii="Traditional Arabic" w:eastAsia="Calibri" w:hAnsi="Traditional Arabic" w:cs="Traditional Arabic" w:hint="cs"/>
          <w:sz w:val="40"/>
          <w:szCs w:val="40"/>
          <w:rtl/>
        </w:rPr>
        <w:t>و</w:t>
      </w:r>
      <w:r w:rsidR="00286DB0" w:rsidRPr="00C406BC">
        <w:rPr>
          <w:rFonts w:ascii="Traditional Arabic" w:eastAsia="Calibri" w:hAnsi="Traditional Arabic" w:cs="Traditional Arabic"/>
          <w:sz w:val="40"/>
          <w:szCs w:val="40"/>
          <w:rtl/>
        </w:rPr>
        <w:t xml:space="preserve">إذا رفض </w:t>
      </w:r>
      <w:r w:rsidR="00286DB0" w:rsidRPr="007E5A20">
        <w:rPr>
          <w:rFonts w:ascii="Traditional Arabic" w:eastAsia="Calibri" w:hAnsi="Traditional Arabic" w:cs="Traditional Arabic"/>
          <w:sz w:val="40"/>
          <w:szCs w:val="40"/>
          <w:rtl/>
        </w:rPr>
        <w:t xml:space="preserve">الطعن </w:t>
      </w:r>
      <w:r w:rsidRPr="007E5A20">
        <w:rPr>
          <w:rFonts w:ascii="Traditional Arabic" w:eastAsia="Calibri" w:hAnsi="Traditional Arabic" w:cs="Traditional Arabic" w:hint="cs"/>
          <w:sz w:val="40"/>
          <w:szCs w:val="40"/>
          <w:rtl/>
        </w:rPr>
        <w:t>،</w:t>
      </w:r>
      <w:r w:rsidR="00286DB0" w:rsidRPr="007E5A20">
        <w:rPr>
          <w:rFonts w:ascii="Traditional Arabic" w:eastAsia="Calibri" w:hAnsi="Traditional Arabic" w:cs="Traditional Arabic"/>
          <w:sz w:val="40"/>
          <w:szCs w:val="40"/>
          <w:rtl/>
        </w:rPr>
        <w:t xml:space="preserve">أو الاستئناف، </w:t>
      </w:r>
      <w:r w:rsidRPr="007E5A20">
        <w:rPr>
          <w:rFonts w:ascii="Traditional Arabic" w:eastAsia="Calibri" w:hAnsi="Traditional Arabic" w:cs="Traditional Arabic" w:hint="cs"/>
          <w:sz w:val="40"/>
          <w:szCs w:val="40"/>
          <w:rtl/>
        </w:rPr>
        <w:t>فإن</w:t>
      </w:r>
      <w:r w:rsidR="00286DB0" w:rsidRPr="007E5A20">
        <w:rPr>
          <w:rFonts w:ascii="Traditional Arabic" w:eastAsia="Calibri" w:hAnsi="Traditional Arabic" w:cs="Traditional Arabic"/>
          <w:sz w:val="40"/>
          <w:szCs w:val="40"/>
          <w:rtl/>
        </w:rPr>
        <w:t xml:space="preserve"> الحكم الأصلي</w:t>
      </w:r>
      <w:r w:rsidRPr="007E5A20">
        <w:rPr>
          <w:rFonts w:ascii="Traditional Arabic" w:eastAsia="Calibri" w:hAnsi="Traditional Arabic" w:cs="Traditional Arabic" w:hint="cs"/>
          <w:sz w:val="40"/>
          <w:szCs w:val="40"/>
          <w:rtl/>
        </w:rPr>
        <w:t xml:space="preserve"> يعد</w:t>
      </w:r>
      <w:r w:rsidR="00286DB0" w:rsidRPr="007E5A20">
        <w:rPr>
          <w:rFonts w:ascii="Traditional Arabic" w:eastAsia="Calibri" w:hAnsi="Traditional Arabic" w:cs="Traditional Arabic"/>
          <w:sz w:val="40"/>
          <w:szCs w:val="40"/>
          <w:rtl/>
        </w:rPr>
        <w:t xml:space="preserve"> نافذاً</w:t>
      </w:r>
      <w:r w:rsidRPr="007E5A20">
        <w:rPr>
          <w:rFonts w:ascii="Traditional Arabic" w:eastAsia="Calibri" w:hAnsi="Traditional Arabic" w:cs="Traditional Arabic" w:hint="cs"/>
          <w:sz w:val="40"/>
          <w:szCs w:val="40"/>
          <w:rtl/>
        </w:rPr>
        <w:t>،</w:t>
      </w:r>
      <w:r w:rsidR="00286DB0" w:rsidRPr="007E5A20">
        <w:rPr>
          <w:rFonts w:ascii="Traditional Arabic" w:eastAsia="Calibri" w:hAnsi="Traditional Arabic" w:cs="Traditional Arabic"/>
          <w:sz w:val="40"/>
          <w:szCs w:val="40"/>
          <w:rtl/>
        </w:rPr>
        <w:t xml:space="preserve"> ويمكن تنفيذه بموجبه.</w:t>
      </w:r>
    </w:p>
    <w:p w14:paraId="6D9048B5" w14:textId="4852604B" w:rsidR="00286DB0" w:rsidRPr="00C406BC" w:rsidRDefault="007E5A20" w:rsidP="007E5A20">
      <w:pPr>
        <w:spacing w:after="240" w:line="360" w:lineRule="auto"/>
        <w:rPr>
          <w:rFonts w:ascii="Traditional Arabic" w:eastAsia="Calibri" w:hAnsi="Traditional Arabic" w:cs="Traditional Arabic"/>
          <w:sz w:val="40"/>
          <w:szCs w:val="40"/>
        </w:rPr>
      </w:pPr>
      <w:r w:rsidRPr="007E5A20">
        <w:rPr>
          <w:rFonts w:ascii="Traditional Arabic" w:eastAsia="Calibri" w:hAnsi="Traditional Arabic" w:cs="Traditional Arabic" w:hint="cs"/>
          <w:sz w:val="40"/>
          <w:szCs w:val="40"/>
          <w:rtl/>
        </w:rPr>
        <w:t>2-</w:t>
      </w:r>
      <w:bookmarkStart w:id="33" w:name="_Hlk181169146"/>
      <w:r w:rsidR="00286DB0" w:rsidRPr="007E5A20">
        <w:rPr>
          <w:rFonts w:ascii="Traditional Arabic" w:eastAsia="Calibri" w:hAnsi="Traditional Arabic" w:cs="Traditional Arabic"/>
          <w:sz w:val="40"/>
          <w:szCs w:val="40"/>
          <w:rtl/>
        </w:rPr>
        <w:t>إثبات عدم تنفيذ الحكم</w:t>
      </w:r>
      <w:bookmarkEnd w:id="33"/>
      <w:r w:rsidR="00286DB0" w:rsidRPr="007E5A20">
        <w:rPr>
          <w:rFonts w:ascii="Traditional Arabic" w:eastAsia="Calibri" w:hAnsi="Traditional Arabic" w:cs="Traditional Arabic"/>
          <w:sz w:val="40"/>
          <w:szCs w:val="40"/>
        </w:rPr>
        <w:t xml:space="preserve">: </w:t>
      </w:r>
      <w:r>
        <w:rPr>
          <w:rFonts w:ascii="Traditional Arabic" w:eastAsia="Calibri" w:hAnsi="Traditional Arabic" w:cs="Traditional Arabic" w:hint="cs"/>
          <w:sz w:val="40"/>
          <w:szCs w:val="40"/>
          <w:rtl/>
        </w:rPr>
        <w:t>إن</w:t>
      </w:r>
      <w:r w:rsidR="00286DB0" w:rsidRPr="00C406BC">
        <w:rPr>
          <w:rFonts w:ascii="Traditional Arabic" w:eastAsia="Calibri" w:hAnsi="Traditional Arabic" w:cs="Traditional Arabic"/>
          <w:sz w:val="40"/>
          <w:szCs w:val="40"/>
          <w:rtl/>
        </w:rPr>
        <w:t xml:space="preserve"> عدم تنفيذ الحكم، </w:t>
      </w:r>
      <w:r>
        <w:rPr>
          <w:rFonts w:ascii="Traditional Arabic" w:eastAsia="Calibri" w:hAnsi="Traditional Arabic" w:cs="Traditional Arabic" w:hint="cs"/>
          <w:sz w:val="40"/>
          <w:szCs w:val="40"/>
          <w:rtl/>
        </w:rPr>
        <w:t>ي</w:t>
      </w:r>
      <w:r w:rsidR="00286DB0" w:rsidRPr="00C406BC">
        <w:rPr>
          <w:rFonts w:ascii="Traditional Arabic" w:eastAsia="Calibri" w:hAnsi="Traditional Arabic" w:cs="Traditional Arabic"/>
          <w:sz w:val="40"/>
          <w:szCs w:val="40"/>
          <w:rtl/>
        </w:rPr>
        <w:t xml:space="preserve">وقف التقادم بالنسبة للحق في تنفيذ الحكم حتى يتم تنفيذه، وإثبات عدم تنفيذ الحكم يتطلب القيام بإجراءات قانونية محددة تختلف من حالة لأخرى وفقاً للقوانين المعمول بها في النظام القضائي </w:t>
      </w:r>
      <w:r w:rsidRPr="00C406BC">
        <w:rPr>
          <w:rFonts w:ascii="Traditional Arabic" w:eastAsia="Calibri" w:hAnsi="Traditional Arabic" w:cs="Traditional Arabic" w:hint="cs"/>
          <w:sz w:val="40"/>
          <w:szCs w:val="40"/>
          <w:rtl/>
        </w:rPr>
        <w:t>المعني،</w:t>
      </w:r>
      <w:r>
        <w:rPr>
          <w:rFonts w:ascii="Traditional Arabic" w:eastAsia="Calibri" w:hAnsi="Traditional Arabic" w:cs="Traditional Arabic" w:hint="cs"/>
          <w:sz w:val="40"/>
          <w:szCs w:val="40"/>
          <w:rtl/>
        </w:rPr>
        <w:t xml:space="preserve"> ف</w:t>
      </w:r>
      <w:r w:rsidR="00286DB0" w:rsidRPr="00C406BC">
        <w:rPr>
          <w:rFonts w:ascii="Traditional Arabic" w:eastAsia="Calibri" w:hAnsi="Traditional Arabic" w:cs="Traditional Arabic"/>
          <w:sz w:val="40"/>
          <w:szCs w:val="40"/>
          <w:rtl/>
        </w:rPr>
        <w:t>في العادة، يمكن للشخص الذي يطالب بتنفيذ الحكم</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القرار القضائي تقديم طلب رسمي إلى السلطات المختصة للبدء في تنفيذ الحكم، وتتضمن الخطوات العامة لإثبات عدم تنفيذ الحكم</w:t>
      </w:r>
      <w:r w:rsidR="00286DB0" w:rsidRPr="00C406BC">
        <w:rPr>
          <w:rFonts w:ascii="Traditional Arabic" w:eastAsia="Calibri" w:hAnsi="Traditional Arabic" w:cs="Traditional Arabic"/>
          <w:sz w:val="40"/>
          <w:szCs w:val="40"/>
        </w:rPr>
        <w:t>:</w:t>
      </w:r>
    </w:p>
    <w:p w14:paraId="53422EDB" w14:textId="462C3558" w:rsidR="00286DB0" w:rsidRPr="00C406BC" w:rsidRDefault="007E5A20" w:rsidP="007E5A20">
      <w:pPr>
        <w:spacing w:after="240" w:line="360" w:lineRule="auto"/>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t>(أ</w:t>
      </w:r>
      <w:r w:rsidR="00605ACC">
        <w:rPr>
          <w:rFonts w:ascii="Traditional Arabic" w:eastAsia="Calibri" w:hAnsi="Traditional Arabic" w:cs="Traditional Arabic" w:hint="cs"/>
          <w:sz w:val="40"/>
          <w:szCs w:val="40"/>
          <w:rtl/>
        </w:rPr>
        <w:t>):</w:t>
      </w:r>
      <w:r w:rsidR="00605ACC" w:rsidRPr="00C406BC">
        <w:rPr>
          <w:rFonts w:ascii="Traditional Arabic" w:eastAsia="Calibri" w:hAnsi="Traditional Arabic" w:cs="Traditional Arabic" w:hint="cs"/>
          <w:sz w:val="40"/>
          <w:szCs w:val="40"/>
          <w:rtl/>
        </w:rPr>
        <w:t xml:space="preserve"> تقدي</w:t>
      </w:r>
      <w:r w:rsidR="00605ACC" w:rsidRPr="00C406BC">
        <w:rPr>
          <w:rFonts w:ascii="Traditional Arabic" w:eastAsia="Calibri" w:hAnsi="Traditional Arabic" w:cs="Traditional Arabic" w:hint="eastAsia"/>
          <w:sz w:val="40"/>
          <w:szCs w:val="40"/>
          <w:rtl/>
        </w:rPr>
        <w:t>م</w:t>
      </w:r>
      <w:r w:rsidR="00286DB0" w:rsidRPr="00C406BC">
        <w:rPr>
          <w:rFonts w:ascii="Traditional Arabic" w:eastAsia="Calibri" w:hAnsi="Traditional Arabic" w:cs="Traditional Arabic"/>
          <w:sz w:val="40"/>
          <w:szCs w:val="40"/>
          <w:rtl/>
        </w:rPr>
        <w:t xml:space="preserve"> طلب للسلطة القضائية المختصة: يجب تقديم طلب رسمي للمحكمة المختصة يتضمن معلومات حول الحكم</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وأسباب عدم تنفيذه</w:t>
      </w:r>
      <w:r w:rsidR="00286DB0" w:rsidRPr="00C406BC">
        <w:rPr>
          <w:rFonts w:ascii="Traditional Arabic" w:eastAsia="Calibri" w:hAnsi="Traditional Arabic" w:cs="Traditional Arabic"/>
          <w:sz w:val="40"/>
          <w:szCs w:val="40"/>
        </w:rPr>
        <w:t>.</w:t>
      </w:r>
    </w:p>
    <w:p w14:paraId="2D0C5F00" w14:textId="4A1CCC3A" w:rsidR="00286DB0" w:rsidRPr="00C406BC" w:rsidRDefault="007E5A20" w:rsidP="007E5A20">
      <w:pPr>
        <w:spacing w:after="240" w:line="360" w:lineRule="auto"/>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t>(ب):</w:t>
      </w:r>
      <w:r w:rsidRPr="00C406BC">
        <w:rPr>
          <w:rFonts w:ascii="Traditional Arabic" w:eastAsia="Calibri" w:hAnsi="Traditional Arabic" w:cs="Traditional Arabic" w:hint="cs"/>
          <w:sz w:val="40"/>
          <w:szCs w:val="40"/>
          <w:rtl/>
        </w:rPr>
        <w:t xml:space="preserve"> استدعا</w:t>
      </w:r>
      <w:r w:rsidRPr="00C406BC">
        <w:rPr>
          <w:rFonts w:ascii="Traditional Arabic" w:eastAsia="Calibri" w:hAnsi="Traditional Arabic" w:cs="Traditional Arabic" w:hint="eastAsia"/>
          <w:sz w:val="40"/>
          <w:szCs w:val="40"/>
          <w:rtl/>
        </w:rPr>
        <w:t>ء</w:t>
      </w:r>
      <w:r w:rsidR="00286DB0" w:rsidRPr="00C406BC">
        <w:rPr>
          <w:rFonts w:ascii="Traditional Arabic" w:eastAsia="Calibri" w:hAnsi="Traditional Arabic" w:cs="Traditional Arabic"/>
          <w:sz w:val="40"/>
          <w:szCs w:val="40"/>
          <w:rtl/>
        </w:rPr>
        <w:t xml:space="preserve"> الطرف </w:t>
      </w:r>
      <w:r w:rsidRPr="00C406BC">
        <w:rPr>
          <w:rFonts w:ascii="Traditional Arabic" w:eastAsia="Calibri" w:hAnsi="Traditional Arabic" w:cs="Traditional Arabic" w:hint="cs"/>
          <w:sz w:val="40"/>
          <w:szCs w:val="40"/>
          <w:rtl/>
        </w:rPr>
        <w:t>الآخر: يت</w:t>
      </w:r>
      <w:r w:rsidRPr="00C406BC">
        <w:rPr>
          <w:rFonts w:ascii="Traditional Arabic" w:eastAsia="Calibri" w:hAnsi="Traditional Arabic" w:cs="Traditional Arabic" w:hint="eastAsia"/>
          <w:sz w:val="40"/>
          <w:szCs w:val="40"/>
          <w:rtl/>
        </w:rPr>
        <w:t>م</w:t>
      </w:r>
      <w:r w:rsidR="00286DB0" w:rsidRPr="00C406BC">
        <w:rPr>
          <w:rFonts w:ascii="Traditional Arabic" w:eastAsia="Calibri" w:hAnsi="Traditional Arabic" w:cs="Traditional Arabic"/>
          <w:sz w:val="40"/>
          <w:szCs w:val="40"/>
          <w:rtl/>
        </w:rPr>
        <w:t xml:space="preserve"> استدعاء الطرف الآخر الذي يجب عليه تنفيذ الحكم لحضور جلسة قضائية لمناقشة الأمر</w:t>
      </w:r>
      <w:r w:rsidR="00286DB0" w:rsidRPr="00C406BC">
        <w:rPr>
          <w:rFonts w:ascii="Traditional Arabic" w:eastAsia="Calibri" w:hAnsi="Traditional Arabic" w:cs="Traditional Arabic"/>
          <w:sz w:val="40"/>
          <w:szCs w:val="40"/>
        </w:rPr>
        <w:t>.</w:t>
      </w:r>
    </w:p>
    <w:p w14:paraId="4EA55BDD" w14:textId="79AFC7CA" w:rsidR="00286DB0" w:rsidRPr="00C406BC" w:rsidRDefault="007E5A20" w:rsidP="007E5A20">
      <w:pPr>
        <w:spacing w:after="240" w:line="360" w:lineRule="auto"/>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t>(ج):</w:t>
      </w:r>
      <w:r w:rsidRPr="00C406BC">
        <w:rPr>
          <w:rFonts w:ascii="Traditional Arabic" w:eastAsia="Calibri" w:hAnsi="Traditional Arabic" w:cs="Traditional Arabic" w:hint="cs"/>
          <w:sz w:val="40"/>
          <w:szCs w:val="40"/>
          <w:rtl/>
        </w:rPr>
        <w:t xml:space="preserve"> الدفا</w:t>
      </w:r>
      <w:r w:rsidRPr="00C406BC">
        <w:rPr>
          <w:rFonts w:ascii="Traditional Arabic" w:eastAsia="Calibri" w:hAnsi="Traditional Arabic" w:cs="Traditional Arabic" w:hint="eastAsia"/>
          <w:sz w:val="40"/>
          <w:szCs w:val="40"/>
          <w:rtl/>
        </w:rPr>
        <w:t>ع</w:t>
      </w:r>
      <w:r w:rsidR="00286DB0" w:rsidRPr="00C406BC">
        <w:rPr>
          <w:rFonts w:ascii="Traditional Arabic" w:eastAsia="Calibri" w:hAnsi="Traditional Arabic" w:cs="Traditional Arabic"/>
          <w:sz w:val="40"/>
          <w:szCs w:val="40"/>
          <w:rtl/>
        </w:rPr>
        <w:t xml:space="preserve"> عن الحكم: يتاح للطرف الذي يتعرض للاتهام بعدم تنفيذ الحكم فرصة للدفاع عن نفسه</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وتقديم الأدلة</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والحجج التي تدعم وجهة نظره</w:t>
      </w:r>
      <w:r w:rsidR="00286DB0" w:rsidRPr="00C406BC">
        <w:rPr>
          <w:rFonts w:ascii="Traditional Arabic" w:eastAsia="Calibri" w:hAnsi="Traditional Arabic" w:cs="Traditional Arabic"/>
          <w:sz w:val="40"/>
          <w:szCs w:val="40"/>
        </w:rPr>
        <w:t>.</w:t>
      </w:r>
    </w:p>
    <w:p w14:paraId="38C21776" w14:textId="3EC639E2" w:rsidR="00286DB0" w:rsidRPr="00C406BC" w:rsidRDefault="007E5A20" w:rsidP="007E5A20">
      <w:pPr>
        <w:spacing w:after="240" w:line="360" w:lineRule="auto"/>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lastRenderedPageBreak/>
        <w:t>(د</w:t>
      </w:r>
      <w:r w:rsidR="00605ACC">
        <w:rPr>
          <w:rFonts w:ascii="Traditional Arabic" w:eastAsia="Calibri" w:hAnsi="Traditional Arabic" w:cs="Traditional Arabic" w:hint="cs"/>
          <w:sz w:val="40"/>
          <w:szCs w:val="40"/>
          <w:rtl/>
        </w:rPr>
        <w:t>):</w:t>
      </w:r>
      <w:r w:rsidR="00605ACC" w:rsidRPr="00C406BC">
        <w:rPr>
          <w:rFonts w:ascii="Traditional Arabic" w:eastAsia="Calibri" w:hAnsi="Traditional Arabic" w:cs="Traditional Arabic" w:hint="cs"/>
          <w:sz w:val="40"/>
          <w:szCs w:val="40"/>
          <w:rtl/>
        </w:rPr>
        <w:t xml:space="preserve"> قرا</w:t>
      </w:r>
      <w:r w:rsidR="00605ACC" w:rsidRPr="00C406BC">
        <w:rPr>
          <w:rFonts w:ascii="Traditional Arabic" w:eastAsia="Calibri" w:hAnsi="Traditional Arabic" w:cs="Traditional Arabic" w:hint="eastAsia"/>
          <w:sz w:val="40"/>
          <w:szCs w:val="40"/>
          <w:rtl/>
        </w:rPr>
        <w:t>ر</w:t>
      </w:r>
      <w:r w:rsidR="00286DB0" w:rsidRPr="00C406BC">
        <w:rPr>
          <w:rFonts w:ascii="Traditional Arabic" w:eastAsia="Calibri" w:hAnsi="Traditional Arabic" w:cs="Traditional Arabic"/>
          <w:sz w:val="40"/>
          <w:szCs w:val="40"/>
          <w:rtl/>
        </w:rPr>
        <w:t xml:space="preserve"> المحكمة: بعد النظر في الأدلة</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والحجج من الطرفين، تصدر المحكمة قراراً بشأن ما إذا كان الحكم</w:t>
      </w:r>
      <w:r>
        <w:rPr>
          <w:rFonts w:ascii="Traditional Arabic" w:eastAsia="Calibri" w:hAnsi="Traditional Arabic" w:cs="Traditional Arabic" w:hint="cs"/>
          <w:sz w:val="40"/>
          <w:szCs w:val="40"/>
          <w:rtl/>
        </w:rPr>
        <w:t xml:space="preserve"> قد</w:t>
      </w:r>
      <w:r w:rsidR="00286DB0" w:rsidRPr="00C406BC">
        <w:rPr>
          <w:rFonts w:ascii="Traditional Arabic" w:eastAsia="Calibri" w:hAnsi="Traditional Arabic" w:cs="Traditional Arabic"/>
          <w:sz w:val="40"/>
          <w:szCs w:val="40"/>
          <w:rtl/>
        </w:rPr>
        <w:t xml:space="preserve"> </w:t>
      </w:r>
      <w:r>
        <w:rPr>
          <w:rFonts w:ascii="Traditional Arabic" w:eastAsia="Calibri" w:hAnsi="Traditional Arabic" w:cs="Traditional Arabic" w:hint="cs"/>
          <w:sz w:val="40"/>
          <w:szCs w:val="40"/>
          <w:rtl/>
        </w:rPr>
        <w:t>ن</w:t>
      </w:r>
      <w:r w:rsidR="00605ACC">
        <w:rPr>
          <w:rFonts w:ascii="Traditional Arabic" w:eastAsia="Calibri" w:hAnsi="Traditional Arabic" w:cs="Traditional Arabic" w:hint="cs"/>
          <w:sz w:val="40"/>
          <w:szCs w:val="40"/>
          <w:rtl/>
        </w:rPr>
        <w:t>ُ</w:t>
      </w:r>
      <w:r>
        <w:rPr>
          <w:rFonts w:ascii="Traditional Arabic" w:eastAsia="Calibri" w:hAnsi="Traditional Arabic" w:cs="Traditional Arabic" w:hint="cs"/>
          <w:sz w:val="40"/>
          <w:szCs w:val="40"/>
          <w:rtl/>
        </w:rPr>
        <w:t>فذ</w:t>
      </w:r>
      <w:r w:rsidR="00286DB0" w:rsidRPr="00C406BC">
        <w:rPr>
          <w:rFonts w:ascii="Traditional Arabic" w:eastAsia="Calibri" w:hAnsi="Traditional Arabic" w:cs="Traditional Arabic"/>
          <w:sz w:val="40"/>
          <w:szCs w:val="40"/>
          <w:rtl/>
        </w:rPr>
        <w:t xml:space="preserve"> بشكل صحيح</w:t>
      </w:r>
      <w:r w:rsidR="00605ACC">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أم لا</w:t>
      </w:r>
      <w:r w:rsidR="00286DB0" w:rsidRPr="00C406BC">
        <w:rPr>
          <w:rFonts w:ascii="Traditional Arabic" w:eastAsia="Calibri" w:hAnsi="Traditional Arabic" w:cs="Traditional Arabic"/>
          <w:sz w:val="40"/>
          <w:szCs w:val="40"/>
        </w:rPr>
        <w:t>.</w:t>
      </w:r>
    </w:p>
    <w:p w14:paraId="090ACC1C" w14:textId="24DB9829" w:rsidR="00286DB0" w:rsidRPr="00C406BC" w:rsidRDefault="00605ACC" w:rsidP="00605ACC">
      <w:pPr>
        <w:spacing w:after="240" w:line="360" w:lineRule="auto"/>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t>(ه):</w:t>
      </w:r>
      <w:r w:rsidRPr="00C406BC">
        <w:rPr>
          <w:rFonts w:ascii="Traditional Arabic" w:eastAsia="Calibri" w:hAnsi="Traditional Arabic" w:cs="Traditional Arabic" w:hint="cs"/>
          <w:sz w:val="40"/>
          <w:szCs w:val="40"/>
          <w:rtl/>
        </w:rPr>
        <w:t xml:space="preserve"> تنفي</w:t>
      </w:r>
      <w:r w:rsidRPr="00C406BC">
        <w:rPr>
          <w:rFonts w:ascii="Traditional Arabic" w:eastAsia="Calibri" w:hAnsi="Traditional Arabic" w:cs="Traditional Arabic" w:hint="eastAsia"/>
          <w:sz w:val="40"/>
          <w:szCs w:val="40"/>
          <w:rtl/>
        </w:rPr>
        <w:t>ذ</w:t>
      </w:r>
      <w:r w:rsidR="00286DB0" w:rsidRPr="00C406BC">
        <w:rPr>
          <w:rFonts w:ascii="Traditional Arabic" w:eastAsia="Calibri" w:hAnsi="Traditional Arabic" w:cs="Traditional Arabic"/>
          <w:sz w:val="40"/>
          <w:szCs w:val="40"/>
          <w:rtl/>
        </w:rPr>
        <w:t xml:space="preserve"> القرار: إذا قررت المحكمة عدم تنفيذ الحكم، </w:t>
      </w:r>
      <w:r>
        <w:rPr>
          <w:rFonts w:ascii="Traditional Arabic" w:eastAsia="Calibri" w:hAnsi="Traditional Arabic" w:cs="Traditional Arabic" w:hint="cs"/>
          <w:sz w:val="40"/>
          <w:szCs w:val="40"/>
          <w:rtl/>
        </w:rPr>
        <w:t>ف</w:t>
      </w:r>
      <w:r w:rsidR="00286DB0" w:rsidRPr="00C406BC">
        <w:rPr>
          <w:rFonts w:ascii="Traditional Arabic" w:eastAsia="Calibri" w:hAnsi="Traditional Arabic" w:cs="Traditional Arabic"/>
          <w:sz w:val="40"/>
          <w:szCs w:val="40"/>
          <w:rtl/>
        </w:rPr>
        <w:t>يمكن أن تصدر أوامر تنفيذية للضمان بتنفيذ الحكم، مثل الغرامات المالية</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الإجراءات القانونية الأخرى</w:t>
      </w:r>
      <w:r w:rsidR="00286DB0" w:rsidRPr="00C406BC">
        <w:rPr>
          <w:rFonts w:ascii="Traditional Arabic" w:eastAsia="Calibri" w:hAnsi="Traditional Arabic" w:cs="Traditional Arabic"/>
          <w:sz w:val="40"/>
          <w:szCs w:val="40"/>
        </w:rPr>
        <w:t>.</w:t>
      </w:r>
    </w:p>
    <w:p w14:paraId="7E44F129" w14:textId="380E535D" w:rsidR="00286DB0" w:rsidRPr="00C406BC" w:rsidRDefault="00286DB0" w:rsidP="00C406BC">
      <w:pPr>
        <w:spacing w:after="240" w:line="360" w:lineRule="auto"/>
        <w:ind w:firstLine="720"/>
        <w:rPr>
          <w:rFonts w:ascii="Traditional Arabic" w:eastAsia="Calibri" w:hAnsi="Traditional Arabic" w:cs="Traditional Arabic"/>
          <w:sz w:val="40"/>
          <w:szCs w:val="40"/>
        </w:rPr>
      </w:pPr>
      <w:r w:rsidRPr="00C406BC">
        <w:rPr>
          <w:rFonts w:ascii="Traditional Arabic" w:eastAsia="Calibri" w:hAnsi="Traditional Arabic" w:cs="Traditional Arabic"/>
          <w:sz w:val="40"/>
          <w:szCs w:val="40"/>
          <w:rtl/>
        </w:rPr>
        <w:t>يجب على الأطراف المعنية بالقضية الالتزام بالقوانين</w:t>
      </w:r>
      <w:r w:rsidR="00605ACC">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واللوائح المعمول بها في النظام القضائي المعني، ويمكن الحصول على المشورة القانونية من محامٍ مختص لضمان سير الإجراءات القانونية بشكل صحيح</w:t>
      </w:r>
      <w:r w:rsidRPr="00C406BC">
        <w:rPr>
          <w:rFonts w:ascii="Traditional Arabic" w:eastAsia="Calibri" w:hAnsi="Traditional Arabic" w:cs="Traditional Arabic"/>
          <w:sz w:val="40"/>
          <w:szCs w:val="40"/>
        </w:rPr>
        <w:t>.</w:t>
      </w:r>
    </w:p>
    <w:p w14:paraId="35E4AB6E" w14:textId="30D4A48F" w:rsidR="00286DB0" w:rsidRPr="00C406BC" w:rsidRDefault="00605ACC" w:rsidP="00605ACC">
      <w:pPr>
        <w:spacing w:after="240" w:line="360" w:lineRule="auto"/>
        <w:jc w:val="both"/>
        <w:rPr>
          <w:rFonts w:ascii="Traditional Arabic" w:eastAsia="Calibri" w:hAnsi="Traditional Arabic" w:cs="Traditional Arabic"/>
          <w:sz w:val="40"/>
          <w:szCs w:val="40"/>
        </w:rPr>
      </w:pPr>
      <w:r w:rsidRPr="00605ACC">
        <w:rPr>
          <w:rFonts w:ascii="Traditional Arabic" w:eastAsia="Calibri" w:hAnsi="Traditional Arabic" w:cs="Traditional Arabic" w:hint="cs"/>
          <w:sz w:val="40"/>
          <w:szCs w:val="40"/>
          <w:rtl/>
        </w:rPr>
        <w:t>3-</w:t>
      </w:r>
      <w:bookmarkStart w:id="34" w:name="_Hlk181169269"/>
      <w:r w:rsidR="00286DB0" w:rsidRPr="00605ACC">
        <w:rPr>
          <w:rFonts w:ascii="Traditional Arabic" w:eastAsia="Calibri" w:hAnsi="Traditional Arabic" w:cs="Traditional Arabic"/>
          <w:sz w:val="40"/>
          <w:szCs w:val="40"/>
          <w:rtl/>
        </w:rPr>
        <w:t>الاعتراف بالدين</w:t>
      </w:r>
      <w:r w:rsidR="00286DB0" w:rsidRPr="00605ACC">
        <w:rPr>
          <w:rFonts w:ascii="Traditional Arabic" w:eastAsia="Calibri" w:hAnsi="Traditional Arabic" w:cs="Traditional Arabic"/>
          <w:sz w:val="40"/>
          <w:szCs w:val="40"/>
        </w:rPr>
        <w:t xml:space="preserve">: </w:t>
      </w:r>
      <w:bookmarkEnd w:id="34"/>
      <w:r w:rsidR="00286DB0" w:rsidRPr="00C406BC">
        <w:rPr>
          <w:rFonts w:ascii="Traditional Arabic" w:eastAsia="Calibri" w:hAnsi="Traditional Arabic" w:cs="Traditional Arabic"/>
          <w:sz w:val="40"/>
          <w:szCs w:val="40"/>
          <w:rtl/>
        </w:rPr>
        <w:t>إذا كان هناك اعتراف بالدين من قبل المدين، يتوقف التقادم بالنسبة لهذا الدين، والاعتراف بالدين يعني الاعتراف الرسمي</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والمقصود به أن شخصًا ما يقر بوجود دين مالي تجاهه، سواء كان ذلك ديناً ناتجًا عن عقد رسمي</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تراكم فواتير غير مدفوعة</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أي التزام مالي آخر، ويمكن أن يكون الاعتراف بالدين عملًا طوعيًا يتخذه الشخص المدين بمبادرة منه للتوصل إلى حلول مالية ودية مع الدائن، أو قد يكون ناتجًا عن إجراءات قانونية مثل الحكم القضائي</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قرار من هيئة تنظيمية، والاعتراف بالدين يمكن أن يتم بشكل صريح عن طريق </w:t>
      </w:r>
      <w:r w:rsidR="00286DB0" w:rsidRPr="00C406BC">
        <w:rPr>
          <w:rFonts w:ascii="Traditional Arabic" w:eastAsia="Calibri" w:hAnsi="Traditional Arabic" w:cs="Traditional Arabic"/>
          <w:sz w:val="40"/>
          <w:szCs w:val="40"/>
          <w:rtl/>
        </w:rPr>
        <w:lastRenderedPageBreak/>
        <w:t>التوقيع على وثيقة اعتراف بالدين، أو بطرق أخرى مثل الاتصال الشفهي</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التواصل الكتابي عبر البريد الإلكتروني، ومن الجدير بالذكر أن الاعتراف بالدين قد يؤدي إلى تفادي الإجراءات القانونية الطويلة</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والمكلفة، وقد يفتح الباب أمام التفاوض بشأن طرق سداد الديون</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تحديد جدول زمني لسدادها</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ومن الضروري الانتباه إلى الآثار القانونية للإقرار بالدين، بما في ذلك أثره على الحقوق</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والالتزامات المالية المستقبلية للطرفين</w:t>
      </w:r>
      <w:r w:rsidR="00286DB0" w:rsidRPr="00C406BC">
        <w:rPr>
          <w:rFonts w:ascii="Traditional Arabic" w:eastAsia="Calibri" w:hAnsi="Traditional Arabic" w:cs="Traditional Arabic"/>
          <w:sz w:val="40"/>
          <w:szCs w:val="40"/>
        </w:rPr>
        <w:t>.</w:t>
      </w:r>
      <w:r w:rsidR="00286DB0" w:rsidRPr="00C406BC">
        <w:rPr>
          <w:rFonts w:ascii="Traditional Arabic" w:eastAsia="Calibri" w:hAnsi="Traditional Arabic" w:cs="Traditional Arabic"/>
          <w:sz w:val="40"/>
          <w:szCs w:val="40"/>
          <w:vertAlign w:val="superscript"/>
        </w:rPr>
        <w:footnoteReference w:id="42"/>
      </w:r>
    </w:p>
    <w:p w14:paraId="2091666A" w14:textId="0DC68D20" w:rsidR="00286DB0" w:rsidRPr="00C406BC" w:rsidRDefault="00605ACC" w:rsidP="00605ACC">
      <w:pPr>
        <w:spacing w:after="240" w:line="360" w:lineRule="auto"/>
        <w:jc w:val="both"/>
        <w:rPr>
          <w:rFonts w:ascii="Traditional Arabic" w:eastAsia="Calibri" w:hAnsi="Traditional Arabic" w:cs="Traditional Arabic"/>
          <w:sz w:val="40"/>
          <w:szCs w:val="40"/>
        </w:rPr>
      </w:pPr>
      <w:r w:rsidRPr="00605ACC">
        <w:rPr>
          <w:rFonts w:ascii="Traditional Arabic" w:eastAsia="Calibri" w:hAnsi="Traditional Arabic" w:cs="Traditional Arabic" w:hint="cs"/>
          <w:sz w:val="40"/>
          <w:szCs w:val="40"/>
          <w:rtl/>
        </w:rPr>
        <w:t>4-</w:t>
      </w:r>
      <w:bookmarkStart w:id="35" w:name="_Hlk181169321"/>
      <w:r w:rsidR="00286DB0" w:rsidRPr="00605ACC">
        <w:rPr>
          <w:rFonts w:ascii="Traditional Arabic" w:eastAsia="Calibri" w:hAnsi="Traditional Arabic" w:cs="Traditional Arabic"/>
          <w:sz w:val="40"/>
          <w:szCs w:val="40"/>
          <w:rtl/>
        </w:rPr>
        <w:t>التقادم الصرفي</w:t>
      </w:r>
      <w:bookmarkEnd w:id="35"/>
      <w:r w:rsidR="00286DB0" w:rsidRPr="00C406BC">
        <w:rPr>
          <w:rFonts w:ascii="Traditional Arabic" w:eastAsia="Calibri" w:hAnsi="Traditional Arabic" w:cs="Traditional Arabic"/>
          <w:b/>
          <w:bCs/>
          <w:sz w:val="40"/>
          <w:szCs w:val="40"/>
        </w:rPr>
        <w:t>:</w:t>
      </w:r>
      <w:r w:rsidR="00286DB0" w:rsidRPr="00C406BC">
        <w:rPr>
          <w:rFonts w:ascii="Traditional Arabic" w:eastAsia="Calibri" w:hAnsi="Traditional Arabic" w:cs="Traditional Arabic"/>
          <w:sz w:val="40"/>
          <w:szCs w:val="40"/>
        </w:rPr>
        <w:t xml:space="preserve"> </w:t>
      </w:r>
      <w:r w:rsidR="00286DB0" w:rsidRPr="00C406BC">
        <w:rPr>
          <w:rFonts w:ascii="Traditional Arabic" w:eastAsia="Calibri" w:hAnsi="Traditional Arabic" w:cs="Traditional Arabic"/>
          <w:sz w:val="40"/>
          <w:szCs w:val="40"/>
          <w:rtl/>
        </w:rPr>
        <w:t>التقادم الصرفي هو مصطلح قانوني يشير إلى انتهاء حق شخص ما في مقاضاة الآخر بناءً على انقضاء فترة زمنية محددة منذ وقوع الحدث الذي يكون موضوع الدعوى</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w:t>
      </w:r>
      <w:r>
        <w:rPr>
          <w:rFonts w:ascii="Traditional Arabic" w:eastAsia="Calibri" w:hAnsi="Traditional Arabic" w:cs="Traditional Arabic" w:hint="cs"/>
          <w:sz w:val="40"/>
          <w:szCs w:val="40"/>
          <w:rtl/>
        </w:rPr>
        <w:t>و</w:t>
      </w:r>
      <w:r w:rsidR="00286DB0" w:rsidRPr="00C406BC">
        <w:rPr>
          <w:rFonts w:ascii="Traditional Arabic" w:eastAsia="Calibri" w:hAnsi="Traditional Arabic" w:cs="Traditional Arabic"/>
          <w:sz w:val="40"/>
          <w:szCs w:val="40"/>
          <w:rtl/>
        </w:rPr>
        <w:t>بمعنى آخر، فإن التقادم الصرفي يحدد الحد الزمني الذي يجب أن يكون داخله يتم تقديم الدعوى القضائية لإثبات الحقوق المدنية</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المالية، وتختلف فترات التقادم الصرفي من قانون إلى آخر</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وتعتمد على نوع الحق</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والقانون الذي ينظمه</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w:t>
      </w:r>
      <w:r>
        <w:rPr>
          <w:rFonts w:ascii="Traditional Arabic" w:eastAsia="Calibri" w:hAnsi="Traditional Arabic" w:cs="Traditional Arabic" w:hint="cs"/>
          <w:sz w:val="40"/>
          <w:szCs w:val="40"/>
          <w:rtl/>
        </w:rPr>
        <w:t>ف</w:t>
      </w:r>
      <w:r w:rsidR="00286DB0" w:rsidRPr="00C406BC">
        <w:rPr>
          <w:rFonts w:ascii="Traditional Arabic" w:eastAsia="Calibri" w:hAnsi="Traditional Arabic" w:cs="Traditional Arabic"/>
          <w:sz w:val="40"/>
          <w:szCs w:val="40"/>
          <w:rtl/>
        </w:rPr>
        <w:t>على سبيل المثال</w:t>
      </w:r>
      <w:r>
        <w:rPr>
          <w:rFonts w:ascii="Traditional Arabic" w:eastAsia="Calibri" w:hAnsi="Traditional Arabic" w:cs="Traditional Arabic" w:hint="cs"/>
          <w:sz w:val="40"/>
          <w:szCs w:val="40"/>
          <w:rtl/>
        </w:rPr>
        <w:t xml:space="preserve"> فإنه</w:t>
      </w:r>
      <w:r w:rsidR="00286DB0" w:rsidRPr="00C406BC">
        <w:rPr>
          <w:rFonts w:ascii="Traditional Arabic" w:eastAsia="Calibri" w:hAnsi="Traditional Arabic" w:cs="Traditional Arabic"/>
          <w:sz w:val="40"/>
          <w:szCs w:val="40"/>
          <w:rtl/>
        </w:rPr>
        <w:t xml:space="preserve"> في بعض الدول قد تكون هناك فترة قصيرة للتقادم للديون المالية، بينما يمكن أن تكون فترة أطول للمطالبات ذات الطبيعة القانونية</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العقارية، والهدف من التقادم الصرفي هو تحقيق الاستقرار</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والتنظيم في العلاقات </w:t>
      </w:r>
      <w:r w:rsidR="00286DB0" w:rsidRPr="00C406BC">
        <w:rPr>
          <w:rFonts w:ascii="Traditional Arabic" w:eastAsia="Calibri" w:hAnsi="Traditional Arabic" w:cs="Traditional Arabic"/>
          <w:sz w:val="40"/>
          <w:szCs w:val="40"/>
          <w:rtl/>
        </w:rPr>
        <w:lastRenderedPageBreak/>
        <w:t>القانونية، حيث يشجع على تقديم المطالبات في وقت مناسب</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ويمنع استمرار المسائل القانونية لفترة زمنية طويلة</w:t>
      </w:r>
      <w:r>
        <w:rPr>
          <w:rFonts w:ascii="Traditional Arabic" w:eastAsia="Calibri" w:hAnsi="Traditional Arabic" w:cs="Traditional Arabic" w:hint="cs"/>
          <w:sz w:val="40"/>
          <w:szCs w:val="40"/>
          <w:rtl/>
        </w:rPr>
        <w:t xml:space="preserve">، </w:t>
      </w:r>
      <w:r w:rsidR="00286DB0" w:rsidRPr="00C406BC">
        <w:rPr>
          <w:rFonts w:ascii="Traditional Arabic" w:eastAsia="Calibri" w:hAnsi="Traditional Arabic" w:cs="Traditional Arabic"/>
          <w:sz w:val="40"/>
          <w:szCs w:val="40"/>
          <w:rtl/>
        </w:rPr>
        <w:t>وبمجرد انتهاء فترة التقادم الصرفي، لا يمكن للشخص المطالب أن يتقدم بدعوى قضائية للمطالبة بحقوقه المدنية</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المالية المنقضية، وفي حالات معينة، يمكن أن يتوقف التقادم العادي</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ويبدأ التقادم الصرفي الذي يعتمد على مجرد مرور الزمن دون وجود أي إجراءات قانونية.</w:t>
      </w:r>
      <w:r w:rsidR="00286DB0" w:rsidRPr="00C406BC">
        <w:rPr>
          <w:rFonts w:ascii="Traditional Arabic" w:eastAsia="Calibri" w:hAnsi="Traditional Arabic" w:cs="Traditional Arabic"/>
          <w:sz w:val="40"/>
          <w:szCs w:val="40"/>
          <w:vertAlign w:val="superscript"/>
          <w:rtl/>
        </w:rPr>
        <w:footnoteReference w:id="43"/>
      </w:r>
    </w:p>
    <w:p w14:paraId="0512C6FB" w14:textId="6CCA1729" w:rsidR="00286DB0" w:rsidRPr="00C406BC" w:rsidRDefault="00605ACC" w:rsidP="00605ACC">
      <w:pPr>
        <w:spacing w:after="240" w:line="360" w:lineRule="auto"/>
        <w:rPr>
          <w:rFonts w:ascii="Traditional Arabic" w:eastAsia="Calibri" w:hAnsi="Traditional Arabic" w:cs="Traditional Arabic"/>
          <w:sz w:val="40"/>
          <w:szCs w:val="40"/>
          <w:rtl/>
        </w:rPr>
      </w:pPr>
      <w:r w:rsidRPr="00605ACC">
        <w:rPr>
          <w:rFonts w:ascii="Traditional Arabic" w:eastAsia="Calibri" w:hAnsi="Traditional Arabic" w:cs="Traditional Arabic" w:hint="cs"/>
          <w:sz w:val="40"/>
          <w:szCs w:val="40"/>
          <w:rtl/>
        </w:rPr>
        <w:t>5-</w:t>
      </w:r>
      <w:bookmarkStart w:id="36" w:name="_Hlk181169373"/>
      <w:r w:rsidR="00286DB0" w:rsidRPr="00605ACC">
        <w:rPr>
          <w:rFonts w:ascii="Traditional Arabic" w:eastAsia="Calibri" w:hAnsi="Traditional Arabic" w:cs="Traditional Arabic"/>
          <w:sz w:val="40"/>
          <w:szCs w:val="40"/>
          <w:rtl/>
        </w:rPr>
        <w:t>الحالات الجنائية</w:t>
      </w:r>
      <w:r w:rsidR="00286DB0" w:rsidRPr="00C406BC">
        <w:rPr>
          <w:rFonts w:ascii="Traditional Arabic" w:eastAsia="Calibri" w:hAnsi="Traditional Arabic" w:cs="Traditional Arabic"/>
          <w:b/>
          <w:bCs/>
          <w:sz w:val="40"/>
          <w:szCs w:val="40"/>
        </w:rPr>
        <w:t>:</w:t>
      </w:r>
      <w:r w:rsidR="00286DB0" w:rsidRPr="00C406BC">
        <w:rPr>
          <w:rFonts w:ascii="Traditional Arabic" w:eastAsia="Calibri" w:hAnsi="Traditional Arabic" w:cs="Traditional Arabic"/>
          <w:sz w:val="40"/>
          <w:szCs w:val="40"/>
        </w:rPr>
        <w:t xml:space="preserve"> </w:t>
      </w:r>
      <w:bookmarkEnd w:id="36"/>
      <w:r w:rsidR="00286DB0" w:rsidRPr="00C406BC">
        <w:rPr>
          <w:rFonts w:ascii="Traditional Arabic" w:eastAsia="Calibri" w:hAnsi="Traditional Arabic" w:cs="Traditional Arabic"/>
          <w:sz w:val="40"/>
          <w:szCs w:val="40"/>
          <w:rtl/>
        </w:rPr>
        <w:t xml:space="preserve">في بعض الجرائم، مثل الجرائم الخطيرة، لا يوجد تقادم، أي أنه يمكن محاكمة الجاني في أي وقت بغض النظر عن مرور الزمن، وفيما يتعلق بالحالات الجنائية، </w:t>
      </w:r>
      <w:r>
        <w:rPr>
          <w:rFonts w:ascii="Traditional Arabic" w:eastAsia="Calibri" w:hAnsi="Traditional Arabic" w:cs="Traditional Arabic" w:hint="cs"/>
          <w:sz w:val="40"/>
          <w:szCs w:val="40"/>
          <w:rtl/>
        </w:rPr>
        <w:t xml:space="preserve">فإن </w:t>
      </w:r>
      <w:r w:rsidR="00286DB0" w:rsidRPr="00C406BC">
        <w:rPr>
          <w:rFonts w:ascii="Traditional Arabic" w:eastAsia="Calibri" w:hAnsi="Traditional Arabic" w:cs="Traditional Arabic"/>
          <w:sz w:val="40"/>
          <w:szCs w:val="40"/>
          <w:rtl/>
        </w:rPr>
        <w:t xml:space="preserve">التقادم يشير إلى انتهاء الحق في متابعة الشخص جنائيًا بعد انتهاء فترة زمنية معينة من وقوع </w:t>
      </w:r>
      <w:r w:rsidR="00695A8D" w:rsidRPr="00C406BC">
        <w:rPr>
          <w:rFonts w:ascii="Traditional Arabic" w:eastAsia="Calibri" w:hAnsi="Traditional Arabic" w:cs="Traditional Arabic" w:hint="cs"/>
          <w:sz w:val="40"/>
          <w:szCs w:val="40"/>
          <w:rtl/>
        </w:rPr>
        <w:t>الجريمة</w:t>
      </w:r>
      <w:r w:rsidR="00695A8D">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w:t>
      </w:r>
      <w:r w:rsidR="00695A8D">
        <w:rPr>
          <w:rFonts w:ascii="Traditional Arabic" w:eastAsia="Calibri" w:hAnsi="Traditional Arabic" w:cs="Traditional Arabic" w:hint="cs"/>
          <w:sz w:val="40"/>
          <w:szCs w:val="40"/>
          <w:rtl/>
        </w:rPr>
        <w:t>و</w:t>
      </w:r>
      <w:r w:rsidR="00286DB0" w:rsidRPr="00C406BC">
        <w:rPr>
          <w:rFonts w:ascii="Traditional Arabic" w:eastAsia="Calibri" w:hAnsi="Traditional Arabic" w:cs="Traditional Arabic"/>
          <w:sz w:val="40"/>
          <w:szCs w:val="40"/>
          <w:rtl/>
        </w:rPr>
        <w:t>هذا يعني أن السلطات القضائية لن تتمكن من محاكمة الشخص المتهم بارتكاب الجريمة بعد انتهاء فترة التقادم، وتختلف فترات التقادم الجنائي من جريمة إلى أخرى</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وتعتمد على خصوصيات النظام القانوني في كل دولة</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ومعظم النظم القانونية تفرق بين أنواع الجرائم في تحديد فترات التقادم، حيث تكون فترة التقادم أطول للجرائم الجنائية الأكثر خطورة مقارنة </w:t>
      </w:r>
      <w:r w:rsidR="00286DB0" w:rsidRPr="00C406BC">
        <w:rPr>
          <w:rFonts w:ascii="Traditional Arabic" w:eastAsia="Calibri" w:hAnsi="Traditional Arabic" w:cs="Traditional Arabic"/>
          <w:sz w:val="40"/>
          <w:szCs w:val="40"/>
          <w:rtl/>
        </w:rPr>
        <w:lastRenderedPageBreak/>
        <w:t>بالجرائم الأقل خطورة، ومن الجدير بالذكر أن هناك بعض الجرائم التي لا يوجد فيها تقادم، مثل بعض الجرائم ذات الطبيعة الجنائية الخطيرة مثل القتل العمد</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والجرائم ضد الإنسانية</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وهذا يعني أنه يمكن محاكمة المتهم بهذه الجرائم في أي وقت بغض النظر عن مرور الزمن منذ وقوع الجريمة</w:t>
      </w:r>
      <w:r w:rsidR="00286DB0" w:rsidRPr="00C406BC">
        <w:rPr>
          <w:rFonts w:ascii="Traditional Arabic" w:eastAsia="Calibri" w:hAnsi="Traditional Arabic" w:cs="Traditional Arabic"/>
          <w:sz w:val="40"/>
          <w:szCs w:val="40"/>
        </w:rPr>
        <w:t>.</w:t>
      </w:r>
      <w:r w:rsidR="00286DB0" w:rsidRPr="00C406BC">
        <w:rPr>
          <w:rFonts w:ascii="Traditional Arabic" w:eastAsia="Calibri" w:hAnsi="Traditional Arabic" w:cs="Traditional Arabic"/>
          <w:sz w:val="40"/>
          <w:szCs w:val="40"/>
          <w:vertAlign w:val="superscript"/>
        </w:rPr>
        <w:footnoteReference w:id="44"/>
      </w:r>
    </w:p>
    <w:p w14:paraId="3C682FD3" w14:textId="77777777" w:rsidR="00286DB0" w:rsidRPr="00C406BC" w:rsidRDefault="00286DB0" w:rsidP="00C406BC">
      <w:pPr>
        <w:pStyle w:val="1"/>
        <w:spacing w:line="360" w:lineRule="auto"/>
        <w:ind w:firstLine="720"/>
        <w:rPr>
          <w:rFonts w:ascii="Traditional Arabic" w:eastAsia="Calibri" w:hAnsi="Traditional Arabic" w:cs="Traditional Arabic"/>
          <w:b/>
          <w:bCs/>
          <w:color w:val="auto"/>
          <w:sz w:val="40"/>
          <w:szCs w:val="40"/>
        </w:rPr>
      </w:pPr>
      <w:bookmarkStart w:id="37" w:name="_Toc168891651"/>
      <w:r w:rsidRPr="00C406BC">
        <w:rPr>
          <w:rFonts w:ascii="Traditional Arabic" w:eastAsia="Calibri" w:hAnsi="Traditional Arabic" w:cs="Traditional Arabic"/>
          <w:b/>
          <w:bCs/>
          <w:color w:val="auto"/>
          <w:sz w:val="40"/>
          <w:szCs w:val="40"/>
        </w:rPr>
        <w:t>المطلب الثالث: التقادم الوارد في بعض القوانين التجارية الخاصة</w:t>
      </w:r>
      <w:bookmarkEnd w:id="37"/>
    </w:p>
    <w:p w14:paraId="03FF84AD" w14:textId="42A6FA02" w:rsidR="00286DB0" w:rsidRPr="00685C6B" w:rsidRDefault="00286DB0" w:rsidP="00C406BC">
      <w:pPr>
        <w:spacing w:after="240" w:line="360" w:lineRule="auto"/>
        <w:ind w:firstLine="720"/>
        <w:rPr>
          <w:rFonts w:ascii="Traditional Arabic" w:eastAsia="Calibri" w:hAnsi="Traditional Arabic" w:cs="Traditional Arabic"/>
          <w:sz w:val="40"/>
          <w:szCs w:val="40"/>
        </w:rPr>
      </w:pPr>
      <w:r w:rsidRPr="00685C6B">
        <w:rPr>
          <w:rFonts w:ascii="Traditional Arabic" w:eastAsia="Calibri" w:hAnsi="Traditional Arabic" w:cs="Traditional Arabic"/>
          <w:sz w:val="40"/>
          <w:szCs w:val="40"/>
          <w:rtl/>
        </w:rPr>
        <w:t xml:space="preserve">الفرع الأول: </w:t>
      </w:r>
      <w:bookmarkStart w:id="38" w:name="_Hlk181169825"/>
      <w:r w:rsidRPr="00685C6B">
        <w:rPr>
          <w:rFonts w:ascii="Traditional Arabic" w:eastAsia="Calibri" w:hAnsi="Traditional Arabic" w:cs="Traditional Arabic"/>
          <w:sz w:val="40"/>
          <w:szCs w:val="40"/>
          <w:rtl/>
        </w:rPr>
        <w:t>الأوراق الخاضعة لمبدأ عدم سماع الدعوى</w:t>
      </w:r>
      <w:bookmarkEnd w:id="38"/>
      <w:r w:rsidR="00685C6B">
        <w:rPr>
          <w:rFonts w:ascii="Traditional Arabic" w:eastAsia="Calibri" w:hAnsi="Traditional Arabic" w:cs="Traditional Arabic" w:hint="cs"/>
          <w:sz w:val="40"/>
          <w:szCs w:val="40"/>
          <w:rtl/>
        </w:rPr>
        <w:t>:</w:t>
      </w:r>
    </w:p>
    <w:p w14:paraId="7C919E36" w14:textId="3D402CAB" w:rsidR="00286DB0" w:rsidRPr="00C406BC" w:rsidRDefault="00685C6B" w:rsidP="00C406BC">
      <w:pPr>
        <w:spacing w:after="240" w:line="360" w:lineRule="auto"/>
        <w:ind w:firstLine="720"/>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t xml:space="preserve">يمكن تعريف </w:t>
      </w:r>
      <w:r w:rsidR="00286DB0" w:rsidRPr="00C406BC">
        <w:rPr>
          <w:rFonts w:ascii="Traditional Arabic" w:eastAsia="Calibri" w:hAnsi="Traditional Arabic" w:cs="Traditional Arabic"/>
          <w:sz w:val="40"/>
          <w:szCs w:val="40"/>
          <w:rtl/>
        </w:rPr>
        <w:t>الأوراق التجارية</w:t>
      </w:r>
      <w:r w:rsidR="00695A8D">
        <w:rPr>
          <w:rFonts w:ascii="Traditional Arabic" w:eastAsia="Calibri" w:hAnsi="Traditional Arabic" w:cs="Traditional Arabic" w:hint="cs"/>
          <w:sz w:val="40"/>
          <w:szCs w:val="40"/>
          <w:rtl/>
        </w:rPr>
        <w:t xml:space="preserve"> بأنها </w:t>
      </w:r>
      <w:r w:rsidR="00286DB0" w:rsidRPr="00C406BC">
        <w:rPr>
          <w:rFonts w:ascii="Traditional Arabic" w:eastAsia="Calibri" w:hAnsi="Traditional Arabic" w:cs="Traditional Arabic"/>
          <w:sz w:val="40"/>
          <w:szCs w:val="40"/>
          <w:rtl/>
        </w:rPr>
        <w:t>صكوك مكتوبة وفقاً لأوضاع قانونية محددة</w:t>
      </w:r>
      <w:r w:rsidR="008E66ED">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وتتضمن التزاماً بدفع مبلغ معين من النقود، في وقت معين، أو قابل للتعيين</w:t>
      </w:r>
      <w:r w:rsidR="00175F43">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وتنتقل الحقوق الثابتة فيها بطريق التظهير، أو المناولة، ويقبلها العرف التجاري، كأداة لتسوية الديون بسبب سهولة تحويلها إلى نقود." </w:t>
      </w:r>
      <w:r w:rsidR="00286DB0" w:rsidRPr="00C406BC">
        <w:rPr>
          <w:rFonts w:ascii="Traditional Arabic" w:eastAsia="Calibri" w:hAnsi="Traditional Arabic" w:cs="Traditional Arabic"/>
          <w:sz w:val="40"/>
          <w:szCs w:val="40"/>
          <w:vertAlign w:val="superscript"/>
          <w:rtl/>
        </w:rPr>
        <w:footnoteReference w:id="45"/>
      </w:r>
    </w:p>
    <w:p w14:paraId="08F53543" w14:textId="77777777" w:rsidR="00DE1858" w:rsidRDefault="00286DB0" w:rsidP="00C406BC">
      <w:pPr>
        <w:spacing w:after="240" w:line="360" w:lineRule="auto"/>
        <w:ind w:firstLine="720"/>
        <w:rPr>
          <w:rFonts w:ascii="Traditional Arabic" w:eastAsia="Calibri" w:hAnsi="Traditional Arabic" w:cs="Traditional Arabic"/>
          <w:sz w:val="40"/>
          <w:szCs w:val="40"/>
          <w:rtl/>
        </w:rPr>
      </w:pPr>
      <w:r w:rsidRPr="00C406BC">
        <w:rPr>
          <w:rFonts w:ascii="Traditional Arabic" w:eastAsia="Calibri" w:hAnsi="Traditional Arabic" w:cs="Traditional Arabic"/>
          <w:sz w:val="40"/>
          <w:szCs w:val="40"/>
          <w:rtl/>
        </w:rPr>
        <w:lastRenderedPageBreak/>
        <w:t>هذا التعريف يتيح اتساع دائرة الأوراق التجارية وفقًا لحاجات البيئة التجارية، مع تبرز وظيفتها الرئيسية كأداة للوفاء في المعاملات التجارية</w:t>
      </w:r>
      <w:r w:rsidR="00DE1858">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w:t>
      </w:r>
      <w:r w:rsidR="00DE1858">
        <w:rPr>
          <w:rFonts w:ascii="Traditional Arabic" w:eastAsia="Calibri" w:hAnsi="Traditional Arabic" w:cs="Traditional Arabic" w:hint="cs"/>
          <w:sz w:val="40"/>
          <w:szCs w:val="40"/>
          <w:rtl/>
        </w:rPr>
        <w:t>و</w:t>
      </w:r>
      <w:r w:rsidRPr="00C406BC">
        <w:rPr>
          <w:rFonts w:ascii="Traditional Arabic" w:eastAsia="Calibri" w:hAnsi="Traditional Arabic" w:cs="Traditional Arabic"/>
          <w:sz w:val="40"/>
          <w:szCs w:val="40"/>
          <w:rtl/>
        </w:rPr>
        <w:t>يجدر بالذكر أن النظام السعودي للأوراق التجارية لم يحدد تعريفًا أوليًا للأوراق التجارية، ولكنه اكتفى بتحديد خصائصها.</w:t>
      </w:r>
    </w:p>
    <w:p w14:paraId="796F74C0" w14:textId="1B7B7C00" w:rsidR="00286DB0" w:rsidRPr="00C406BC" w:rsidRDefault="00DE1858" w:rsidP="00DE1858">
      <w:pPr>
        <w:spacing w:after="240" w:line="360" w:lineRule="auto"/>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t xml:space="preserve"> </w:t>
      </w:r>
      <w:r w:rsidR="00286DB0" w:rsidRPr="00C406BC">
        <w:rPr>
          <w:rFonts w:ascii="Traditional Arabic" w:eastAsia="Calibri" w:hAnsi="Traditional Arabic" w:cs="Traditional Arabic"/>
          <w:sz w:val="40"/>
          <w:szCs w:val="40"/>
          <w:rtl/>
        </w:rPr>
        <w:t xml:space="preserve"> </w:t>
      </w:r>
      <w:r>
        <w:rPr>
          <w:rFonts w:ascii="Traditional Arabic" w:eastAsia="Calibri" w:hAnsi="Traditional Arabic" w:cs="Traditional Arabic" w:hint="cs"/>
          <w:sz w:val="40"/>
          <w:szCs w:val="40"/>
          <w:rtl/>
        </w:rPr>
        <w:t xml:space="preserve"> إن </w:t>
      </w:r>
      <w:r w:rsidR="00286DB0" w:rsidRPr="00C406BC">
        <w:rPr>
          <w:rFonts w:ascii="Traditional Arabic" w:eastAsia="Calibri" w:hAnsi="Traditional Arabic" w:cs="Traditional Arabic"/>
          <w:sz w:val="40"/>
          <w:szCs w:val="40"/>
          <w:rtl/>
        </w:rPr>
        <w:t>بعض الأشخاص</w:t>
      </w:r>
      <w:r>
        <w:rPr>
          <w:rFonts w:ascii="Traditional Arabic" w:eastAsia="Calibri" w:hAnsi="Traditional Arabic" w:cs="Traditional Arabic" w:hint="cs"/>
          <w:sz w:val="40"/>
          <w:szCs w:val="40"/>
          <w:rtl/>
        </w:rPr>
        <w:t xml:space="preserve"> يفضلون</w:t>
      </w:r>
      <w:r w:rsidR="00286DB0" w:rsidRPr="00C406BC">
        <w:rPr>
          <w:rFonts w:ascii="Traditional Arabic" w:eastAsia="Calibri" w:hAnsi="Traditional Arabic" w:cs="Traditional Arabic"/>
          <w:sz w:val="40"/>
          <w:szCs w:val="40"/>
          <w:rtl/>
        </w:rPr>
        <w:t xml:space="preserve"> هذا النهج</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حيث يُعتبر أن ترك النظام لهذا المجال مفتوحًا يتيح المزيد من التفسير</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والتطبيق العملي للقواعد التجارية</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والقضائية، ومن الملاحظ أن النظام السعودي عالج في مواده الكمبيالة</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والسند لأمر</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والشيك، مما يوحي بأنه لا يُعتبر كل صكٍّ يتحقق فيه خصائص الأوراق التجارية</w:t>
      </w:r>
      <w:r>
        <w:rPr>
          <w:rFonts w:ascii="Traditional Arabic" w:eastAsia="Calibri" w:hAnsi="Traditional Arabic" w:cs="Traditional Arabic" w:hint="cs"/>
          <w:sz w:val="40"/>
          <w:szCs w:val="40"/>
          <w:rtl/>
        </w:rPr>
        <w:t>، فيعتبر</w:t>
      </w:r>
      <w:r w:rsidR="00286DB0" w:rsidRPr="00C406BC">
        <w:rPr>
          <w:rFonts w:ascii="Traditional Arabic" w:eastAsia="Calibri" w:hAnsi="Traditional Arabic" w:cs="Traditional Arabic"/>
          <w:sz w:val="40"/>
          <w:szCs w:val="40"/>
          <w:rtl/>
        </w:rPr>
        <w:t xml:space="preserve"> ورقة تجارية، مالم يتم تسميته وفقًا للأسماء المذكورة في النظام</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والتي تم تحديدها بالنص</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ويُلاحظ أن نظام جنيف الموح</w:t>
      </w:r>
      <w:r>
        <w:rPr>
          <w:rFonts w:ascii="Traditional Arabic" w:eastAsia="Calibri" w:hAnsi="Traditional Arabic" w:cs="Traditional Arabic" w:hint="cs"/>
          <w:sz w:val="40"/>
          <w:szCs w:val="40"/>
          <w:rtl/>
        </w:rPr>
        <w:t>د</w:t>
      </w:r>
      <w:r w:rsidR="00286DB0" w:rsidRPr="00C406BC">
        <w:rPr>
          <w:rFonts w:ascii="Traditional Arabic" w:eastAsia="Calibri" w:hAnsi="Traditional Arabic" w:cs="Traditional Arabic"/>
          <w:sz w:val="40"/>
          <w:szCs w:val="40"/>
          <w:rtl/>
        </w:rPr>
        <w:t xml:space="preserve"> الصادر في عامي </w:t>
      </w:r>
      <w:r w:rsidR="00286DB0" w:rsidRPr="00C406BC">
        <w:rPr>
          <w:rFonts w:ascii="Traditional Arabic" w:eastAsia="Calibri" w:hAnsi="Traditional Arabic" w:cs="Traditional Arabic"/>
          <w:sz w:val="40"/>
          <w:szCs w:val="40"/>
          <w:rtl/>
          <w:lang w:bidi="fa-IR"/>
        </w:rPr>
        <w:t>۱۹۳۰-۱۹۳۱</w:t>
      </w:r>
      <w:r w:rsidR="00286DB0" w:rsidRPr="00C406BC">
        <w:rPr>
          <w:rFonts w:ascii="Traditional Arabic" w:eastAsia="Calibri" w:hAnsi="Traditional Arabic" w:cs="Traditional Arabic"/>
          <w:sz w:val="40"/>
          <w:szCs w:val="40"/>
          <w:rtl/>
        </w:rPr>
        <w:t>م قد اقتصر على معالجة الكمبيالة</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والسند لأمر</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والشيك، وهذا يُظهر أن اقتصار النظام الموحد على هذه الصكوك الثلاثة لا يعني أن ما عداها لا يمكن اعتباره ورقة تجارية</w:t>
      </w:r>
      <w:r w:rsidR="00286DB0" w:rsidRPr="00C406BC">
        <w:rPr>
          <w:rFonts w:ascii="Traditional Arabic" w:eastAsia="Calibri" w:hAnsi="Traditional Arabic" w:cs="Traditional Arabic"/>
          <w:sz w:val="40"/>
          <w:szCs w:val="40"/>
        </w:rPr>
        <w:t>.</w:t>
      </w:r>
    </w:p>
    <w:p w14:paraId="43DEE2C2" w14:textId="24A38B61" w:rsidR="00286DB0" w:rsidRPr="00C406BC" w:rsidRDefault="00286DB0" w:rsidP="00C406BC">
      <w:pPr>
        <w:spacing w:after="240" w:line="360" w:lineRule="auto"/>
        <w:ind w:firstLine="720"/>
        <w:rPr>
          <w:rFonts w:ascii="Traditional Arabic" w:eastAsia="Calibri" w:hAnsi="Traditional Arabic" w:cs="Traditional Arabic"/>
          <w:sz w:val="40"/>
          <w:szCs w:val="40"/>
        </w:rPr>
      </w:pPr>
      <w:r w:rsidRPr="00C406BC">
        <w:rPr>
          <w:rFonts w:ascii="Traditional Arabic" w:eastAsia="Calibri" w:hAnsi="Traditional Arabic" w:cs="Traditional Arabic"/>
          <w:sz w:val="40"/>
          <w:szCs w:val="40"/>
          <w:rtl/>
        </w:rPr>
        <w:t xml:space="preserve">على الرغم من ذلك، يمكن اعتبار أي ورقة تجارية تتوفر فيها الخصائص الأساسية للأوراق التجارية، كما هو الحال في </w:t>
      </w:r>
      <w:r w:rsidR="00C2431A" w:rsidRPr="00C406BC">
        <w:rPr>
          <w:rFonts w:ascii="Traditional Arabic" w:eastAsia="Calibri" w:hAnsi="Traditional Arabic" w:cs="Traditional Arabic" w:hint="cs"/>
          <w:sz w:val="40"/>
          <w:szCs w:val="40"/>
          <w:rtl/>
        </w:rPr>
        <w:t>فرنسا؛ حيث</w:t>
      </w:r>
      <w:r w:rsidRPr="00C406BC">
        <w:rPr>
          <w:rFonts w:ascii="Traditional Arabic" w:eastAsia="Calibri" w:hAnsi="Traditional Arabic" w:cs="Traditional Arabic"/>
          <w:sz w:val="40"/>
          <w:szCs w:val="40"/>
          <w:rtl/>
        </w:rPr>
        <w:t xml:space="preserve"> تُعتبر إيصالات البضائع الصادرة عن المخازن </w:t>
      </w:r>
      <w:r w:rsidRPr="00C406BC">
        <w:rPr>
          <w:rFonts w:ascii="Traditional Arabic" w:eastAsia="Calibri" w:hAnsi="Traditional Arabic" w:cs="Traditional Arabic"/>
          <w:sz w:val="40"/>
          <w:szCs w:val="40"/>
          <w:rtl/>
        </w:rPr>
        <w:lastRenderedPageBreak/>
        <w:t>العمومية أوراقًا تجارية. لذا، يمكن اعتبار أي مستند محرر لأغراض تجارية</w:t>
      </w:r>
      <w:r w:rsidR="00DE1858">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وتتوافر فيه الخصائص الأساسية للأوراق التجارية ورقة تجارية</w:t>
      </w:r>
      <w:r w:rsidRPr="00C406BC">
        <w:rPr>
          <w:rFonts w:ascii="Traditional Arabic" w:eastAsia="Calibri" w:hAnsi="Traditional Arabic" w:cs="Traditional Arabic"/>
          <w:sz w:val="40"/>
          <w:szCs w:val="40"/>
        </w:rPr>
        <w:t>.</w:t>
      </w:r>
    </w:p>
    <w:p w14:paraId="58AE13CD" w14:textId="267FC37A" w:rsidR="00286DB0" w:rsidRPr="00C406BC" w:rsidRDefault="00DE1858" w:rsidP="00DE1858">
      <w:pPr>
        <w:spacing w:after="240" w:line="360" w:lineRule="auto"/>
        <w:jc w:val="both"/>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t>إن</w:t>
      </w:r>
      <w:r w:rsidR="00286DB0" w:rsidRPr="00C406BC">
        <w:rPr>
          <w:rFonts w:ascii="Traditional Arabic" w:eastAsia="Calibri" w:hAnsi="Traditional Arabic" w:cs="Traditional Arabic"/>
          <w:sz w:val="40"/>
          <w:szCs w:val="40"/>
          <w:rtl/>
        </w:rPr>
        <w:t xml:space="preserve"> الحفاظ على مبدأ عدم سماع الدعوى في الأوراق التجارية السعودية</w:t>
      </w:r>
      <w:r>
        <w:rPr>
          <w:rFonts w:ascii="Traditional Arabic" w:eastAsia="Calibri" w:hAnsi="Traditional Arabic" w:cs="Traditional Arabic" w:hint="cs"/>
          <w:sz w:val="40"/>
          <w:szCs w:val="40"/>
          <w:rtl/>
        </w:rPr>
        <w:t xml:space="preserve"> يتطلب</w:t>
      </w:r>
      <w:r w:rsidR="00286DB0" w:rsidRPr="00C406BC">
        <w:rPr>
          <w:rFonts w:ascii="Traditional Arabic" w:eastAsia="Calibri" w:hAnsi="Traditional Arabic" w:cs="Traditional Arabic"/>
          <w:sz w:val="40"/>
          <w:szCs w:val="40"/>
          <w:rtl/>
        </w:rPr>
        <w:t xml:space="preserve"> الالتزام بالمواد (٨٤)</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و(١١١ - ١١٦) من النظام، والتي تنظم كل من الكمبيالة</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والسند لأمر</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والشيك على التوالي</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w:t>
      </w:r>
      <w:r>
        <w:rPr>
          <w:rFonts w:ascii="Traditional Arabic" w:eastAsia="Calibri" w:hAnsi="Traditional Arabic" w:cs="Traditional Arabic" w:hint="cs"/>
          <w:sz w:val="40"/>
          <w:szCs w:val="40"/>
          <w:rtl/>
        </w:rPr>
        <w:t>و</w:t>
      </w:r>
      <w:r w:rsidR="00286DB0" w:rsidRPr="00C406BC">
        <w:rPr>
          <w:rFonts w:ascii="Traditional Arabic" w:eastAsia="Calibri" w:hAnsi="Traditional Arabic" w:cs="Traditional Arabic"/>
          <w:sz w:val="40"/>
          <w:szCs w:val="40"/>
          <w:rtl/>
        </w:rPr>
        <w:t>تحدد هذه المواد الفترة الزمنية التي يمكن فيها رفع الدعوى القضائية بشأن هذه الأوراق، وتختلف هذه الفترات حسب نوع الورقة والأطراف المعنية بها، وتعتبر هذه القوانين والأحكام جزءًا أساسيًا من النظام القانوني السعودي للأوراق التجارية، وتهدف إلى توفير الحماية</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والتوازن في المعاملات التجارية</w:t>
      </w:r>
      <w:r w:rsidR="001F04CE">
        <w:rPr>
          <w:rFonts w:ascii="Traditional Arabic" w:eastAsia="Calibri" w:hAnsi="Traditional Arabic" w:cs="Traditional Arabic" w:hint="cs"/>
          <w:sz w:val="40"/>
          <w:szCs w:val="40"/>
          <w:rtl/>
        </w:rPr>
        <w:t>، ويمكن إبراز ذلك فيما يلي</w:t>
      </w:r>
      <w:r w:rsidR="00C406BC" w:rsidRPr="00C406BC">
        <w:rPr>
          <w:rFonts w:ascii="Traditional Arabic" w:eastAsia="Calibri" w:hAnsi="Traditional Arabic" w:cs="Traditional Arabic" w:hint="cs"/>
          <w:sz w:val="40"/>
          <w:szCs w:val="40"/>
          <w:rtl/>
        </w:rPr>
        <w:t>:</w:t>
      </w:r>
    </w:p>
    <w:p w14:paraId="293A8BD2" w14:textId="0952E2D8" w:rsidR="00286DB0" w:rsidRPr="00C406BC" w:rsidRDefault="008A6AE5" w:rsidP="00DE1858">
      <w:pPr>
        <w:spacing w:after="240" w:line="360" w:lineRule="auto"/>
        <w:contextualSpacing/>
        <w:jc w:val="both"/>
        <w:rPr>
          <w:rFonts w:ascii="Traditional Arabic" w:eastAsia="Calibri" w:hAnsi="Traditional Arabic" w:cs="Traditional Arabic"/>
          <w:b/>
          <w:bCs/>
          <w:sz w:val="40"/>
          <w:szCs w:val="40"/>
        </w:rPr>
      </w:pPr>
      <w:r>
        <w:rPr>
          <w:rFonts w:ascii="Traditional Arabic" w:eastAsia="Calibri" w:hAnsi="Traditional Arabic" w:cs="Traditional Arabic" w:hint="cs"/>
          <w:sz w:val="40"/>
          <w:szCs w:val="40"/>
          <w:rtl/>
        </w:rPr>
        <w:t>1-</w:t>
      </w:r>
      <w:r w:rsidR="00695A8D" w:rsidRPr="00DE1858">
        <w:rPr>
          <w:rFonts w:ascii="Traditional Arabic" w:eastAsia="Calibri" w:hAnsi="Traditional Arabic" w:cs="Traditional Arabic" w:hint="cs"/>
          <w:sz w:val="40"/>
          <w:szCs w:val="40"/>
          <w:rtl/>
        </w:rPr>
        <w:t xml:space="preserve"> الكمبيال</w:t>
      </w:r>
      <w:r w:rsidR="00695A8D" w:rsidRPr="00DE1858">
        <w:rPr>
          <w:rFonts w:ascii="Traditional Arabic" w:eastAsia="Calibri" w:hAnsi="Traditional Arabic" w:cs="Traditional Arabic" w:hint="eastAsia"/>
          <w:sz w:val="40"/>
          <w:szCs w:val="40"/>
          <w:rtl/>
        </w:rPr>
        <w:t>ة</w:t>
      </w:r>
      <w:r w:rsidR="00286DB0" w:rsidRPr="00DE1858">
        <w:rPr>
          <w:rFonts w:ascii="Traditional Arabic" w:eastAsia="Calibri" w:hAnsi="Traditional Arabic" w:cs="Traditional Arabic"/>
          <w:sz w:val="40"/>
          <w:szCs w:val="40"/>
          <w:rtl/>
        </w:rPr>
        <w:t xml:space="preserve"> في النظام السعودي للأوراق التجارية</w:t>
      </w:r>
      <w:r w:rsidR="00DE1858">
        <w:rPr>
          <w:rFonts w:ascii="Traditional Arabic" w:eastAsia="Calibri" w:hAnsi="Traditional Arabic" w:cs="Traditional Arabic" w:hint="cs"/>
          <w:b/>
          <w:bCs/>
          <w:sz w:val="40"/>
          <w:szCs w:val="40"/>
          <w:rtl/>
        </w:rPr>
        <w:t>:</w:t>
      </w:r>
    </w:p>
    <w:p w14:paraId="4612C3CA" w14:textId="26D8A7F8" w:rsidR="00286DB0" w:rsidRPr="00C406BC" w:rsidRDefault="00286DB0" w:rsidP="00C406BC">
      <w:pPr>
        <w:spacing w:after="240" w:line="360" w:lineRule="auto"/>
        <w:ind w:firstLine="720"/>
        <w:jc w:val="both"/>
        <w:rPr>
          <w:rFonts w:ascii="Traditional Arabic" w:eastAsia="Calibri" w:hAnsi="Traditional Arabic" w:cs="Traditional Arabic"/>
          <w:sz w:val="40"/>
          <w:szCs w:val="40"/>
        </w:rPr>
      </w:pPr>
      <w:r w:rsidRPr="00C406BC">
        <w:rPr>
          <w:rFonts w:ascii="Traditional Arabic" w:eastAsia="Calibri" w:hAnsi="Traditional Arabic" w:cs="Traditional Arabic"/>
          <w:sz w:val="40"/>
          <w:szCs w:val="40"/>
          <w:rtl/>
        </w:rPr>
        <w:t>يُلاحظ أن النظام السعودي للأوراق التجارية قد كرس العديد من مواده لتنظيم ما يتعلق بالكمبيالة</w:t>
      </w:r>
      <w:r w:rsidR="00DE1858">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وتنص المادة (٨٤) من النظام على أنه لا تُسمع الدعوى الناشئة عن الكمبيالة تجاه قابلها بمضي ثلاث سنوات من تاريخ الاستحقاق</w:t>
      </w:r>
      <w:r w:rsidR="00DE1858">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كما لا تُسمع دعاوى الحامل تجاه الساحب</w:t>
      </w:r>
      <w:r w:rsidR="00DE1858">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أو المظهرين بعد مضي سنة من تاريخ الاحتجاج المحرر في الميعاد النظامي</w:t>
      </w:r>
      <w:r w:rsidR="00DE1858">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أو من تاريخ الاستحقاق إذا اشتملت على شرط الرجوع بلا مصروفات</w:t>
      </w:r>
      <w:r w:rsidR="00DE1858">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أو بدون احتجاج</w:t>
      </w:r>
      <w:r w:rsidR="00DE1858">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ولا تُسمع </w:t>
      </w:r>
      <w:r w:rsidRPr="00C406BC">
        <w:rPr>
          <w:rFonts w:ascii="Traditional Arabic" w:eastAsia="Calibri" w:hAnsi="Traditional Arabic" w:cs="Traditional Arabic"/>
          <w:sz w:val="40"/>
          <w:szCs w:val="40"/>
          <w:rtl/>
        </w:rPr>
        <w:lastRenderedPageBreak/>
        <w:t>دعاوى المظهرين بعضهم تجاه بعض</w:t>
      </w:r>
      <w:r w:rsidR="00DE1858">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أو تجاه الساحب بعد مضي ستة شهور من اليوم الذي وفى فيها المظهر الكمبيالة</w:t>
      </w:r>
      <w:r w:rsidR="00DE1858">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أو من يوم إقامة الدعوى عليه</w:t>
      </w:r>
      <w:r w:rsidRPr="00C406BC">
        <w:rPr>
          <w:rFonts w:ascii="Traditional Arabic" w:eastAsia="Calibri" w:hAnsi="Traditional Arabic" w:cs="Traditional Arabic"/>
          <w:sz w:val="40"/>
          <w:szCs w:val="40"/>
        </w:rPr>
        <w:t>.</w:t>
      </w:r>
      <w:r w:rsidRPr="00C406BC">
        <w:rPr>
          <w:rFonts w:ascii="Traditional Arabic" w:eastAsia="Calibri" w:hAnsi="Traditional Arabic" w:cs="Traditional Arabic"/>
          <w:sz w:val="40"/>
          <w:szCs w:val="40"/>
          <w:vertAlign w:val="superscript"/>
        </w:rPr>
        <w:footnoteReference w:id="46"/>
      </w:r>
    </w:p>
    <w:p w14:paraId="58EE07AE" w14:textId="7B718F72" w:rsidR="00286DB0" w:rsidRPr="00C406BC" w:rsidRDefault="00DE1858" w:rsidP="00C406BC">
      <w:pPr>
        <w:spacing w:after="240" w:line="360" w:lineRule="auto"/>
        <w:ind w:firstLine="720"/>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t xml:space="preserve">إن </w:t>
      </w:r>
      <w:r w:rsidR="00286DB0" w:rsidRPr="00C406BC">
        <w:rPr>
          <w:rFonts w:ascii="Traditional Arabic" w:eastAsia="Calibri" w:hAnsi="Traditional Arabic" w:cs="Traditional Arabic"/>
          <w:sz w:val="40"/>
          <w:szCs w:val="40"/>
          <w:rtl/>
        </w:rPr>
        <w:t>هذه المادة قد أخضعت كل دعوى متعلقة بالكمبيالة لمبدأ عدم سماع الدعوى بمضي المدة المقررة لعدم سماع الدعوى، مع اختلاف واضح في مدة عدم سماع الدعوى بين كل من قابل الكمبيالة، ودعوى الحامل تجاه الساحب</w:t>
      </w:r>
      <w:r w:rsidR="001F04CE">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المظهرين، أو دعوى المظهرين بعضهم تجاه بعض:</w:t>
      </w:r>
      <w:r w:rsidR="00286DB0" w:rsidRPr="00C406BC">
        <w:rPr>
          <w:rFonts w:ascii="Traditional Arabic" w:eastAsia="Calibri" w:hAnsi="Traditional Arabic" w:cs="Traditional Arabic"/>
          <w:sz w:val="40"/>
          <w:szCs w:val="40"/>
          <w:vertAlign w:val="superscript"/>
          <w:rtl/>
        </w:rPr>
        <w:footnoteReference w:id="47"/>
      </w:r>
    </w:p>
    <w:p w14:paraId="3EA97C3F" w14:textId="0D53FD03" w:rsidR="00286DB0" w:rsidRPr="00C406BC" w:rsidRDefault="00C2431A" w:rsidP="001F04CE">
      <w:pPr>
        <w:spacing w:after="240" w:line="360" w:lineRule="auto"/>
        <w:jc w:val="both"/>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t>(</w:t>
      </w:r>
      <w:r w:rsidR="008A6AE5">
        <w:rPr>
          <w:rFonts w:ascii="Traditional Arabic" w:eastAsia="Calibri" w:hAnsi="Traditional Arabic" w:cs="Traditional Arabic" w:hint="cs"/>
          <w:sz w:val="40"/>
          <w:szCs w:val="40"/>
          <w:rtl/>
        </w:rPr>
        <w:t>أ):</w:t>
      </w:r>
      <w:r w:rsidR="008A6AE5" w:rsidRPr="00C406BC">
        <w:rPr>
          <w:rFonts w:ascii="Traditional Arabic" w:eastAsia="Calibri" w:hAnsi="Traditional Arabic" w:cs="Traditional Arabic" w:hint="cs"/>
          <w:sz w:val="40"/>
          <w:szCs w:val="40"/>
          <w:rtl/>
        </w:rPr>
        <w:t xml:space="preserve"> </w:t>
      </w:r>
      <w:bookmarkStart w:id="39" w:name="_Hlk181170257"/>
      <w:r w:rsidR="008A6AE5" w:rsidRPr="00C406BC">
        <w:rPr>
          <w:rFonts w:ascii="Traditional Arabic" w:eastAsia="Calibri" w:hAnsi="Traditional Arabic" w:cs="Traditional Arabic" w:hint="cs"/>
          <w:sz w:val="40"/>
          <w:szCs w:val="40"/>
          <w:rtl/>
        </w:rPr>
        <w:t>الدعو</w:t>
      </w:r>
      <w:r w:rsidR="008A6AE5" w:rsidRPr="00C406BC">
        <w:rPr>
          <w:rFonts w:ascii="Traditional Arabic" w:eastAsia="Calibri" w:hAnsi="Traditional Arabic" w:cs="Traditional Arabic" w:hint="eastAsia"/>
          <w:sz w:val="40"/>
          <w:szCs w:val="40"/>
          <w:rtl/>
        </w:rPr>
        <w:t>ى</w:t>
      </w:r>
      <w:r w:rsidR="00286DB0" w:rsidRPr="00C406BC">
        <w:rPr>
          <w:rFonts w:ascii="Traditional Arabic" w:eastAsia="Calibri" w:hAnsi="Traditional Arabic" w:cs="Traditional Arabic"/>
          <w:sz w:val="40"/>
          <w:szCs w:val="40"/>
          <w:rtl/>
        </w:rPr>
        <w:t xml:space="preserve"> ضد المسحوب عليه القابل</w:t>
      </w:r>
      <w:bookmarkEnd w:id="39"/>
      <w:r w:rsidR="00286DB0" w:rsidRPr="00C406BC">
        <w:rPr>
          <w:rFonts w:ascii="Traditional Arabic" w:eastAsia="Calibri" w:hAnsi="Traditional Arabic" w:cs="Traditional Arabic"/>
          <w:sz w:val="40"/>
          <w:szCs w:val="40"/>
          <w:rtl/>
        </w:rPr>
        <w:t>: يصبح من حق الحامل مطالبة قابلها بالوفاء طيلة السنوات الثلاث اللاحقة لميعاد الاستحقاق، وبانقضاء هذه المدة</w:t>
      </w:r>
      <w:r w:rsidR="001F04CE">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فإن سماع الدعوى يصبح غير جائز</w:t>
      </w:r>
      <w:r w:rsidR="00286DB0" w:rsidRPr="00C406BC">
        <w:rPr>
          <w:rFonts w:ascii="Traditional Arabic" w:eastAsia="Calibri" w:hAnsi="Traditional Arabic" w:cs="Traditional Arabic"/>
          <w:sz w:val="40"/>
          <w:szCs w:val="40"/>
        </w:rPr>
        <w:t>.</w:t>
      </w:r>
    </w:p>
    <w:p w14:paraId="07105528" w14:textId="1114ECF1" w:rsidR="00286DB0" w:rsidRPr="00C406BC" w:rsidRDefault="00C2431A" w:rsidP="001F04CE">
      <w:pPr>
        <w:spacing w:after="240" w:line="360" w:lineRule="auto"/>
        <w:jc w:val="both"/>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t>(</w:t>
      </w:r>
      <w:r w:rsidR="008A6AE5">
        <w:rPr>
          <w:rFonts w:ascii="Traditional Arabic" w:eastAsia="Calibri" w:hAnsi="Traditional Arabic" w:cs="Traditional Arabic" w:hint="cs"/>
          <w:sz w:val="40"/>
          <w:szCs w:val="40"/>
          <w:rtl/>
        </w:rPr>
        <w:t>ب):</w:t>
      </w:r>
      <w:r w:rsidR="008A6AE5" w:rsidRPr="00C406BC">
        <w:rPr>
          <w:rFonts w:ascii="Traditional Arabic" w:eastAsia="Calibri" w:hAnsi="Traditional Arabic" w:cs="Traditional Arabic" w:hint="cs"/>
          <w:sz w:val="40"/>
          <w:szCs w:val="40"/>
          <w:rtl/>
        </w:rPr>
        <w:t xml:space="preserve"> </w:t>
      </w:r>
      <w:bookmarkStart w:id="40" w:name="_Hlk181170327"/>
      <w:r w:rsidR="008A6AE5" w:rsidRPr="00C406BC">
        <w:rPr>
          <w:rFonts w:ascii="Traditional Arabic" w:eastAsia="Calibri" w:hAnsi="Traditional Arabic" w:cs="Traditional Arabic" w:hint="cs"/>
          <w:sz w:val="40"/>
          <w:szCs w:val="40"/>
          <w:rtl/>
        </w:rPr>
        <w:t>الدعو</w:t>
      </w:r>
      <w:r w:rsidR="008A6AE5" w:rsidRPr="00C406BC">
        <w:rPr>
          <w:rFonts w:ascii="Traditional Arabic" w:eastAsia="Calibri" w:hAnsi="Traditional Arabic" w:cs="Traditional Arabic" w:hint="eastAsia"/>
          <w:sz w:val="40"/>
          <w:szCs w:val="40"/>
          <w:rtl/>
        </w:rPr>
        <w:t>ى</w:t>
      </w:r>
      <w:r w:rsidR="00286DB0" w:rsidRPr="00C406BC">
        <w:rPr>
          <w:rFonts w:ascii="Traditional Arabic" w:eastAsia="Calibri" w:hAnsi="Traditional Arabic" w:cs="Traditional Arabic"/>
          <w:sz w:val="40"/>
          <w:szCs w:val="40"/>
          <w:rtl/>
        </w:rPr>
        <w:t xml:space="preserve"> ضد الساحب</w:t>
      </w:r>
      <w:r w:rsidR="001F04CE">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والمظهرين</w:t>
      </w:r>
      <w:bookmarkEnd w:id="40"/>
      <w:r w:rsidR="00286DB0" w:rsidRPr="00C406BC">
        <w:rPr>
          <w:rFonts w:ascii="Traditional Arabic" w:eastAsia="Calibri" w:hAnsi="Traditional Arabic" w:cs="Traditional Arabic"/>
          <w:sz w:val="40"/>
          <w:szCs w:val="40"/>
          <w:rtl/>
        </w:rPr>
        <w:t>: يمكن رفع الدعوى ضد هؤلاء خلال مدة سنة من تاريخ الاحتجاج المحرر في الميعاد النظامي</w:t>
      </w:r>
      <w:r w:rsidR="001F04CE">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من تاريخ الاستحقاق</w:t>
      </w:r>
      <w:r w:rsidR="00286DB0" w:rsidRPr="00C406BC">
        <w:rPr>
          <w:rFonts w:ascii="Traditional Arabic" w:eastAsia="Calibri" w:hAnsi="Traditional Arabic" w:cs="Traditional Arabic"/>
          <w:sz w:val="40"/>
          <w:szCs w:val="40"/>
        </w:rPr>
        <w:t>.</w:t>
      </w:r>
    </w:p>
    <w:p w14:paraId="189F91F6" w14:textId="3DA7ECC6" w:rsidR="00286DB0" w:rsidRPr="00C406BC" w:rsidRDefault="00C2431A" w:rsidP="001F04CE">
      <w:pPr>
        <w:spacing w:after="240" w:line="360" w:lineRule="auto"/>
        <w:jc w:val="both"/>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lastRenderedPageBreak/>
        <w:t>(</w:t>
      </w:r>
      <w:r w:rsidR="008A6AE5">
        <w:rPr>
          <w:rFonts w:ascii="Traditional Arabic" w:eastAsia="Calibri" w:hAnsi="Traditional Arabic" w:cs="Traditional Arabic" w:hint="cs"/>
          <w:sz w:val="40"/>
          <w:szCs w:val="40"/>
          <w:rtl/>
        </w:rPr>
        <w:t>ج):</w:t>
      </w:r>
      <w:r w:rsidR="008A6AE5" w:rsidRPr="00C406BC">
        <w:rPr>
          <w:rFonts w:ascii="Traditional Arabic" w:eastAsia="Calibri" w:hAnsi="Traditional Arabic" w:cs="Traditional Arabic" w:hint="cs"/>
          <w:sz w:val="40"/>
          <w:szCs w:val="40"/>
          <w:rtl/>
        </w:rPr>
        <w:t xml:space="preserve"> </w:t>
      </w:r>
      <w:bookmarkStart w:id="41" w:name="_Hlk181170406"/>
      <w:r w:rsidR="008A6AE5" w:rsidRPr="00C406BC">
        <w:rPr>
          <w:rFonts w:ascii="Traditional Arabic" w:eastAsia="Calibri" w:hAnsi="Traditional Arabic" w:cs="Traditional Arabic" w:hint="cs"/>
          <w:sz w:val="40"/>
          <w:szCs w:val="40"/>
          <w:rtl/>
        </w:rPr>
        <w:t>دعاو</w:t>
      </w:r>
      <w:r w:rsidR="008A6AE5" w:rsidRPr="00C406BC">
        <w:rPr>
          <w:rFonts w:ascii="Traditional Arabic" w:eastAsia="Calibri" w:hAnsi="Traditional Arabic" w:cs="Traditional Arabic" w:hint="eastAsia"/>
          <w:sz w:val="40"/>
          <w:szCs w:val="40"/>
          <w:rtl/>
        </w:rPr>
        <w:t>ى</w:t>
      </w:r>
      <w:r w:rsidR="00286DB0" w:rsidRPr="00C406BC">
        <w:rPr>
          <w:rFonts w:ascii="Traditional Arabic" w:eastAsia="Calibri" w:hAnsi="Traditional Arabic" w:cs="Traditional Arabic"/>
          <w:sz w:val="40"/>
          <w:szCs w:val="40"/>
          <w:rtl/>
        </w:rPr>
        <w:t xml:space="preserve"> المظهرين بعضهم تجاه بعض</w:t>
      </w:r>
      <w:r w:rsidR="001F04CE">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تجاه الساحب</w:t>
      </w:r>
      <w:bookmarkEnd w:id="41"/>
      <w:r w:rsidR="00286DB0" w:rsidRPr="00C406BC">
        <w:rPr>
          <w:rFonts w:ascii="Traditional Arabic" w:eastAsia="Calibri" w:hAnsi="Traditional Arabic" w:cs="Traditional Arabic"/>
          <w:sz w:val="40"/>
          <w:szCs w:val="40"/>
          <w:rtl/>
        </w:rPr>
        <w:t>: يجب أن تقام الدعوى خلال ستة شهور من اليوم الذي وُفي فيه المظهر الكمبيالة، أو من يوم إقامة الدعوى عليه</w:t>
      </w:r>
      <w:r w:rsidR="00286DB0" w:rsidRPr="00C406BC">
        <w:rPr>
          <w:rFonts w:ascii="Traditional Arabic" w:eastAsia="Calibri" w:hAnsi="Traditional Arabic" w:cs="Traditional Arabic"/>
          <w:sz w:val="40"/>
          <w:szCs w:val="40"/>
        </w:rPr>
        <w:t>.</w:t>
      </w:r>
    </w:p>
    <w:p w14:paraId="3CAF4736" w14:textId="77777777" w:rsidR="00286DB0" w:rsidRPr="00C406BC" w:rsidRDefault="00286DB0" w:rsidP="00C406BC">
      <w:pPr>
        <w:spacing w:after="240" w:line="360" w:lineRule="auto"/>
        <w:ind w:firstLine="540"/>
        <w:jc w:val="both"/>
        <w:rPr>
          <w:rFonts w:ascii="Traditional Arabic" w:eastAsia="Calibri" w:hAnsi="Traditional Arabic" w:cs="Traditional Arabic"/>
          <w:sz w:val="40"/>
          <w:szCs w:val="40"/>
          <w:rtl/>
        </w:rPr>
      </w:pPr>
      <w:r w:rsidRPr="00C406BC">
        <w:rPr>
          <w:rFonts w:ascii="Traditional Arabic" w:eastAsia="Calibri" w:hAnsi="Traditional Arabic" w:cs="Traditional Arabic"/>
          <w:sz w:val="40"/>
          <w:szCs w:val="40"/>
          <w:rtl/>
        </w:rPr>
        <w:t>هذه الترتيبات تهدف إلى تنظيم العلاقات المالية والتجارية وحماية جميع الأطراف المعنية في العمليات التجارية التي تشمل استخدام الكمبيالة كوسيلة دفع</w:t>
      </w:r>
      <w:r w:rsidRPr="00C406BC">
        <w:rPr>
          <w:rFonts w:ascii="Traditional Arabic" w:eastAsia="Calibri" w:hAnsi="Traditional Arabic" w:cs="Traditional Arabic"/>
          <w:sz w:val="40"/>
          <w:szCs w:val="40"/>
        </w:rPr>
        <w:t>.</w:t>
      </w:r>
    </w:p>
    <w:p w14:paraId="2B4BA8FA" w14:textId="64EB0A78" w:rsidR="00286DB0" w:rsidRPr="00C2431A" w:rsidRDefault="00286DB0" w:rsidP="00C2431A">
      <w:pPr>
        <w:spacing w:after="240" w:line="360" w:lineRule="auto"/>
        <w:contextualSpacing/>
        <w:rPr>
          <w:rFonts w:ascii="Traditional Arabic" w:eastAsia="Calibri" w:hAnsi="Traditional Arabic" w:cs="Traditional Arabic"/>
          <w:sz w:val="40"/>
          <w:szCs w:val="40"/>
        </w:rPr>
      </w:pPr>
      <w:r w:rsidRPr="00C406BC">
        <w:rPr>
          <w:rFonts w:ascii="Traditional Arabic" w:eastAsia="Calibri" w:hAnsi="Traditional Arabic" w:cs="Traditional Arabic"/>
          <w:b/>
          <w:bCs/>
          <w:sz w:val="40"/>
          <w:szCs w:val="40"/>
        </w:rPr>
        <w:t xml:space="preserve"> </w:t>
      </w:r>
      <w:r w:rsidR="00C2431A" w:rsidRPr="00C2431A">
        <w:rPr>
          <w:rFonts w:ascii="Traditional Arabic" w:eastAsia="Calibri" w:hAnsi="Traditional Arabic" w:cs="Traditional Arabic" w:hint="cs"/>
          <w:sz w:val="40"/>
          <w:szCs w:val="40"/>
          <w:rtl/>
        </w:rPr>
        <w:t>2-</w:t>
      </w:r>
      <w:bookmarkStart w:id="42" w:name="_Hlk181170884"/>
      <w:r w:rsidRPr="00C2431A">
        <w:rPr>
          <w:rFonts w:ascii="Traditional Arabic" w:eastAsia="Calibri" w:hAnsi="Traditional Arabic" w:cs="Traditional Arabic"/>
          <w:sz w:val="40"/>
          <w:szCs w:val="40"/>
          <w:rtl/>
        </w:rPr>
        <w:t>السند لأمر</w:t>
      </w:r>
      <w:bookmarkEnd w:id="42"/>
      <w:r w:rsidR="00C2431A">
        <w:rPr>
          <w:rFonts w:ascii="Traditional Arabic" w:eastAsia="Calibri" w:hAnsi="Traditional Arabic" w:cs="Traditional Arabic" w:hint="cs"/>
          <w:sz w:val="40"/>
          <w:szCs w:val="40"/>
          <w:rtl/>
        </w:rPr>
        <w:t>:</w:t>
      </w:r>
    </w:p>
    <w:p w14:paraId="109E47CE" w14:textId="34969B14" w:rsidR="00286DB0" w:rsidRPr="00C406BC" w:rsidRDefault="00286DB0" w:rsidP="00C406BC">
      <w:pPr>
        <w:spacing w:after="240" w:line="360" w:lineRule="auto"/>
        <w:ind w:firstLine="720"/>
        <w:rPr>
          <w:rFonts w:ascii="Traditional Arabic" w:eastAsia="Calibri" w:hAnsi="Traditional Arabic" w:cs="Traditional Arabic"/>
          <w:sz w:val="40"/>
          <w:szCs w:val="40"/>
        </w:rPr>
      </w:pPr>
      <w:r w:rsidRPr="00C406BC">
        <w:rPr>
          <w:rFonts w:ascii="Traditional Arabic" w:eastAsia="Calibri" w:hAnsi="Traditional Arabic" w:cs="Traditional Arabic"/>
          <w:sz w:val="40"/>
          <w:szCs w:val="40"/>
          <w:rtl/>
        </w:rPr>
        <w:t>هناك فارق جوهري بين الكمبيالة</w:t>
      </w:r>
      <w:r w:rsidR="00C2431A">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والسند لأمر، يتمثل في أطراف كل منهما، فبينما نجد أطراف الكمبيالة ثلاثة أشخاص هم الساحب، والمستفيد، والمسحوب عليه، نجد السند لأمر يقتصر على طرفين هما محرر السند، والمستفيد، وهذا الفارق بينهما ينتج عنه فوارق كثيرة، فإن معظم الأنظمة</w:t>
      </w:r>
      <w:r w:rsidR="00C2431A">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والقوانين لا تعتبر السند لأمر ورقة تجارية في جميع الصور، بل جعلت تلك الأنظمة مناط خضوعه لقواعد الأوراق التجارية كونه عملاً تجارياً</w:t>
      </w:r>
      <w:r w:rsidRPr="00C406BC">
        <w:rPr>
          <w:rFonts w:ascii="Traditional Arabic" w:eastAsia="Calibri" w:hAnsi="Traditional Arabic" w:cs="Traditional Arabic"/>
          <w:sz w:val="40"/>
          <w:szCs w:val="40"/>
        </w:rPr>
        <w:t>.</w:t>
      </w:r>
      <w:r w:rsidRPr="00C406BC">
        <w:rPr>
          <w:rFonts w:ascii="Traditional Arabic" w:eastAsia="Calibri" w:hAnsi="Traditional Arabic" w:cs="Traditional Arabic"/>
          <w:sz w:val="40"/>
          <w:szCs w:val="40"/>
          <w:vertAlign w:val="superscript"/>
        </w:rPr>
        <w:footnoteReference w:id="48"/>
      </w:r>
    </w:p>
    <w:p w14:paraId="23355A2B" w14:textId="77777777" w:rsidR="00286DB0" w:rsidRPr="00C406BC" w:rsidRDefault="00286DB0" w:rsidP="00C406BC">
      <w:pPr>
        <w:spacing w:after="240" w:line="360" w:lineRule="auto"/>
        <w:ind w:firstLine="720"/>
        <w:rPr>
          <w:rFonts w:ascii="Traditional Arabic" w:eastAsia="Calibri" w:hAnsi="Traditional Arabic" w:cs="Traditional Arabic"/>
          <w:sz w:val="40"/>
          <w:szCs w:val="40"/>
        </w:rPr>
      </w:pPr>
      <w:r w:rsidRPr="00C406BC">
        <w:rPr>
          <w:rFonts w:ascii="Traditional Arabic" w:eastAsia="Calibri" w:hAnsi="Traditional Arabic" w:cs="Traditional Arabic"/>
          <w:sz w:val="40"/>
          <w:szCs w:val="40"/>
          <w:rtl/>
        </w:rPr>
        <w:t xml:space="preserve">ولابد من الإشارة هنا إلى أن نظام الأوراق التجارية السعودي قد خصص أربع مواد في الباب الثاني لتنظيم السند لأمر، وقد احتوت تلك المواد الأربع على مجموعتين من الأحكام، </w:t>
      </w:r>
      <w:r w:rsidRPr="00C406BC">
        <w:rPr>
          <w:rFonts w:ascii="Traditional Arabic" w:eastAsia="Calibri" w:hAnsi="Traditional Arabic" w:cs="Traditional Arabic"/>
          <w:sz w:val="40"/>
          <w:szCs w:val="40"/>
          <w:rtl/>
        </w:rPr>
        <w:lastRenderedPageBreak/>
        <w:t>الأولى خاصة بالسند لأمر، والأخرى يشترك فيها السند لأمر مع الكمبيالة، حيث أوردتها المادة على سبيل الحصر، ونصت على أن تلك الأمور المشتركة تنطبق على السند لأمر بالقدر الذي لا يتعارض مع ماهيته</w:t>
      </w:r>
      <w:r w:rsidRPr="00C406BC">
        <w:rPr>
          <w:rFonts w:ascii="Traditional Arabic" w:eastAsia="Calibri" w:hAnsi="Traditional Arabic" w:cs="Traditional Arabic"/>
          <w:sz w:val="40"/>
          <w:szCs w:val="40"/>
        </w:rPr>
        <w:t>.</w:t>
      </w:r>
    </w:p>
    <w:p w14:paraId="50D0DD2A" w14:textId="15735330" w:rsidR="00286DB0" w:rsidRPr="00C406BC" w:rsidRDefault="00286DB0" w:rsidP="00C406BC">
      <w:pPr>
        <w:spacing w:after="240" w:line="360" w:lineRule="auto"/>
        <w:ind w:firstLine="720"/>
        <w:rPr>
          <w:rFonts w:ascii="Traditional Arabic" w:eastAsia="Calibri" w:hAnsi="Traditional Arabic" w:cs="Traditional Arabic"/>
          <w:sz w:val="40"/>
          <w:szCs w:val="40"/>
        </w:rPr>
      </w:pPr>
      <w:r w:rsidRPr="00C406BC">
        <w:rPr>
          <w:rFonts w:ascii="Traditional Arabic" w:eastAsia="Calibri" w:hAnsi="Traditional Arabic" w:cs="Traditional Arabic"/>
          <w:sz w:val="40"/>
          <w:szCs w:val="40"/>
          <w:rtl/>
        </w:rPr>
        <w:t>ومما هو جدير بالملاحظة هنا أن</w:t>
      </w:r>
      <w:r w:rsidR="00C2431A">
        <w:rPr>
          <w:rFonts w:ascii="Traditional Arabic" w:eastAsia="Calibri" w:hAnsi="Traditional Arabic" w:cs="Traditional Arabic" w:hint="cs"/>
          <w:sz w:val="40"/>
          <w:szCs w:val="40"/>
          <w:rtl/>
        </w:rPr>
        <w:t xml:space="preserve"> هناك</w:t>
      </w:r>
      <w:r w:rsidRPr="00C406BC">
        <w:rPr>
          <w:rFonts w:ascii="Traditional Arabic" w:eastAsia="Calibri" w:hAnsi="Traditional Arabic" w:cs="Traditional Arabic"/>
          <w:sz w:val="40"/>
          <w:szCs w:val="40"/>
          <w:rtl/>
        </w:rPr>
        <w:t xml:space="preserve"> فريقاً من الشراح يرى أن السند لأمر لا يعد عملاً تجارياً إلا عندما يحرر بمناسبة عملية تجارية حتى ولو كان محرره تاجراً، وكل ما يترتب على توقيع التاجر على السند كمحرر له قيام قرينة بسيطة على تحرير السند بمناسبة عملية تجارية يجوز إثبات عكسها، بأنه كان بمناسبة عملية غير تجارية، ذلك أن القانون الفرنسي يعتبر توقيع التاجر على السند لأمر مجرد قرينة بسيطة يجوز إثبات عكسها</w:t>
      </w:r>
      <w:r w:rsidRPr="00C406BC">
        <w:rPr>
          <w:rFonts w:ascii="Traditional Arabic" w:eastAsia="Calibri" w:hAnsi="Traditional Arabic" w:cs="Traditional Arabic"/>
          <w:sz w:val="40"/>
          <w:szCs w:val="40"/>
        </w:rPr>
        <w:t>.</w:t>
      </w:r>
    </w:p>
    <w:p w14:paraId="77C18147" w14:textId="67C6C927" w:rsidR="00286DB0" w:rsidRPr="00C406BC" w:rsidRDefault="00286DB0" w:rsidP="00C406BC">
      <w:pPr>
        <w:spacing w:after="240" w:line="360" w:lineRule="auto"/>
        <w:ind w:firstLine="720"/>
        <w:rPr>
          <w:rFonts w:ascii="Traditional Arabic" w:eastAsia="Calibri" w:hAnsi="Traditional Arabic" w:cs="Traditional Arabic"/>
          <w:sz w:val="40"/>
          <w:szCs w:val="40"/>
        </w:rPr>
      </w:pPr>
      <w:r w:rsidRPr="00C406BC">
        <w:rPr>
          <w:rFonts w:ascii="Traditional Arabic" w:eastAsia="Calibri" w:hAnsi="Traditional Arabic" w:cs="Traditional Arabic"/>
          <w:sz w:val="40"/>
          <w:szCs w:val="40"/>
          <w:rtl/>
        </w:rPr>
        <w:t>بينما يرى آخرون أن السند لأمر نشأ في أحضان الأوراق التجارية الخاضعة لأحكام القانون التجاري</w:t>
      </w:r>
      <w:r w:rsidR="00C2431A">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ومن بينها أحكام التقادم</w:t>
      </w:r>
      <w:r w:rsidR="00C2431A">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أو عدم سماع الدعوى، سواء كان المحرر تاجرا</w:t>
      </w:r>
      <w:r w:rsidR="00C9516B">
        <w:rPr>
          <w:rFonts w:ascii="Traditional Arabic" w:eastAsia="Calibri" w:hAnsi="Traditional Arabic" w:cs="Traditional Arabic" w:hint="cs"/>
          <w:sz w:val="40"/>
          <w:szCs w:val="40"/>
          <w:rtl/>
        </w:rPr>
        <w:t xml:space="preserve"> كان، </w:t>
      </w:r>
      <w:r w:rsidRPr="00C406BC">
        <w:rPr>
          <w:rFonts w:ascii="Traditional Arabic" w:eastAsia="Calibri" w:hAnsi="Traditional Arabic" w:cs="Traditional Arabic"/>
          <w:sz w:val="40"/>
          <w:szCs w:val="40"/>
          <w:rtl/>
        </w:rPr>
        <w:t>أم غير تاجر، لكن يشترط في هذه الحالة إثبات أن تحريره كان بمناسبة عملية تجارية</w:t>
      </w:r>
      <w:r w:rsidRPr="00C406BC">
        <w:rPr>
          <w:rFonts w:ascii="Traditional Arabic" w:eastAsia="Calibri" w:hAnsi="Traditional Arabic" w:cs="Traditional Arabic"/>
          <w:sz w:val="40"/>
          <w:szCs w:val="40"/>
        </w:rPr>
        <w:t>.</w:t>
      </w:r>
    </w:p>
    <w:p w14:paraId="558965A5" w14:textId="77777777" w:rsidR="00286DB0" w:rsidRPr="00C406BC" w:rsidRDefault="00286DB0" w:rsidP="00C406BC">
      <w:pPr>
        <w:spacing w:after="240" w:line="360" w:lineRule="auto"/>
        <w:ind w:firstLine="720"/>
        <w:rPr>
          <w:rFonts w:ascii="Traditional Arabic" w:eastAsia="Calibri" w:hAnsi="Traditional Arabic" w:cs="Traditional Arabic"/>
          <w:sz w:val="40"/>
          <w:szCs w:val="40"/>
        </w:rPr>
      </w:pPr>
      <w:r w:rsidRPr="00C406BC">
        <w:rPr>
          <w:rFonts w:ascii="Traditional Arabic" w:eastAsia="Calibri" w:hAnsi="Traditional Arabic" w:cs="Traditional Arabic"/>
          <w:sz w:val="40"/>
          <w:szCs w:val="40"/>
          <w:rtl/>
        </w:rPr>
        <w:t>والنتيجة الطبيعية لهذا الخلاف أن الدعاوى الناشئة عن السند لأمر، لا تتقادم أو لا تمنع عدم سماع الدعوى إلا إذا كان السند محرراً بمناسبة عملية تجارية، ولو كان محرره تاجراً</w:t>
      </w:r>
      <w:r w:rsidRPr="00C406BC">
        <w:rPr>
          <w:rFonts w:ascii="Traditional Arabic" w:eastAsia="Calibri" w:hAnsi="Traditional Arabic" w:cs="Traditional Arabic"/>
          <w:sz w:val="40"/>
          <w:szCs w:val="40"/>
        </w:rPr>
        <w:t>.</w:t>
      </w:r>
    </w:p>
    <w:p w14:paraId="130D57AA" w14:textId="64779DD8" w:rsidR="00286DB0" w:rsidRPr="00C406BC" w:rsidRDefault="00286DB0" w:rsidP="00C406BC">
      <w:pPr>
        <w:spacing w:after="240" w:line="360" w:lineRule="auto"/>
        <w:ind w:firstLine="720"/>
        <w:rPr>
          <w:rFonts w:ascii="Traditional Arabic" w:eastAsia="Calibri" w:hAnsi="Traditional Arabic" w:cs="Traditional Arabic"/>
          <w:sz w:val="40"/>
          <w:szCs w:val="40"/>
        </w:rPr>
      </w:pPr>
      <w:r w:rsidRPr="00C406BC">
        <w:rPr>
          <w:rFonts w:ascii="Traditional Arabic" w:eastAsia="Calibri" w:hAnsi="Traditional Arabic" w:cs="Traditional Arabic"/>
          <w:sz w:val="40"/>
          <w:szCs w:val="40"/>
          <w:rtl/>
        </w:rPr>
        <w:lastRenderedPageBreak/>
        <w:t>وإذا جاز لنا أن نلتمس تفسيراً منطقياً لبعض الآراء</w:t>
      </w:r>
      <w:r w:rsidR="00C2431A">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والمواقف المتناقضة من بعض رجال الفقه</w:t>
      </w:r>
      <w:r w:rsidR="00C2431A">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واختلافهم في نوع التقادم الذي يخضع له السند لأمر، و</w:t>
      </w:r>
      <w:r w:rsidR="00C2431A">
        <w:rPr>
          <w:rFonts w:ascii="Traditional Arabic" w:eastAsia="Calibri" w:hAnsi="Traditional Arabic" w:cs="Traditional Arabic" w:hint="cs"/>
          <w:sz w:val="40"/>
          <w:szCs w:val="40"/>
          <w:rtl/>
        </w:rPr>
        <w:t>ما إذا كان</w:t>
      </w:r>
      <w:r w:rsidRPr="00C406BC">
        <w:rPr>
          <w:rFonts w:ascii="Traditional Arabic" w:eastAsia="Calibri" w:hAnsi="Traditional Arabic" w:cs="Traditional Arabic"/>
          <w:sz w:val="40"/>
          <w:szCs w:val="40"/>
          <w:rtl/>
        </w:rPr>
        <w:t xml:space="preserve"> هو التقادم الصرفي أم التقادم العادي</w:t>
      </w:r>
      <w:r w:rsidR="00C2431A">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ومدى العبء الذي يلقيه النظام على المدعي</w:t>
      </w:r>
      <w:r w:rsidR="00C2431A">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والمدعى عليه في إثبات عكس دعوى كل منهما</w:t>
      </w:r>
      <w:r w:rsidR="00C2431A">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والمعيار المميز لخضوع الدعاوى الناشئة عن السند لأمر لأحكام التقادم الصرفي، فإنه سيكون ب</w:t>
      </w:r>
      <w:r w:rsidR="00C2431A">
        <w:rPr>
          <w:rFonts w:ascii="Traditional Arabic" w:eastAsia="Calibri" w:hAnsi="Traditional Arabic" w:cs="Traditional Arabic" w:hint="cs"/>
          <w:sz w:val="40"/>
          <w:szCs w:val="40"/>
          <w:rtl/>
        </w:rPr>
        <w:t>الإمكان</w:t>
      </w:r>
      <w:r w:rsidRPr="00C406BC">
        <w:rPr>
          <w:rFonts w:ascii="Traditional Arabic" w:eastAsia="Calibri" w:hAnsi="Traditional Arabic" w:cs="Traditional Arabic"/>
          <w:sz w:val="40"/>
          <w:szCs w:val="40"/>
          <w:rtl/>
        </w:rPr>
        <w:t xml:space="preserve"> </w:t>
      </w:r>
      <w:r w:rsidR="00C2431A">
        <w:rPr>
          <w:rFonts w:ascii="Traditional Arabic" w:eastAsia="Calibri" w:hAnsi="Traditional Arabic" w:cs="Traditional Arabic" w:hint="cs"/>
          <w:sz w:val="40"/>
          <w:szCs w:val="40"/>
          <w:rtl/>
        </w:rPr>
        <w:t>تقرير</w:t>
      </w:r>
      <w:r w:rsidRPr="00C406BC">
        <w:rPr>
          <w:rFonts w:ascii="Traditional Arabic" w:eastAsia="Calibri" w:hAnsi="Traditional Arabic" w:cs="Traditional Arabic"/>
          <w:sz w:val="40"/>
          <w:szCs w:val="40"/>
          <w:rtl/>
        </w:rPr>
        <w:t xml:space="preserve"> حسم الأمر متى تم النظر إلى العملية الأصلية التي من أجلها حرر السند لمعرفة طبيعتها، وهل تدخل تلك العملية في نطاق الأعمال المدنية، ومن ثم خضوعها لأحكام التقادم العادي، أم أنها من قبيل الأعمال التجارية، وبذلك تخضع الدعاوى الناشئة عن السند لأمر لأحكام التقادم الصرفي</w:t>
      </w:r>
      <w:r w:rsidRPr="00C406BC">
        <w:rPr>
          <w:rFonts w:ascii="Traditional Arabic" w:eastAsia="Calibri" w:hAnsi="Traditional Arabic" w:cs="Traditional Arabic"/>
          <w:sz w:val="40"/>
          <w:szCs w:val="40"/>
        </w:rPr>
        <w:t>.</w:t>
      </w:r>
      <w:r w:rsidRPr="00C406BC">
        <w:rPr>
          <w:rFonts w:ascii="Traditional Arabic" w:eastAsia="Calibri" w:hAnsi="Traditional Arabic" w:cs="Traditional Arabic"/>
          <w:sz w:val="40"/>
          <w:szCs w:val="40"/>
          <w:vertAlign w:val="superscript"/>
        </w:rPr>
        <w:footnoteReference w:id="49"/>
      </w:r>
    </w:p>
    <w:p w14:paraId="01E8DDBE" w14:textId="77777777" w:rsidR="00286DB0" w:rsidRPr="00C406BC" w:rsidRDefault="00286DB0" w:rsidP="00C406BC">
      <w:pPr>
        <w:spacing w:after="240" w:line="360" w:lineRule="auto"/>
        <w:ind w:firstLine="720"/>
        <w:rPr>
          <w:rFonts w:ascii="Traditional Arabic" w:eastAsia="Calibri" w:hAnsi="Traditional Arabic" w:cs="Traditional Arabic"/>
          <w:sz w:val="40"/>
          <w:szCs w:val="40"/>
        </w:rPr>
      </w:pPr>
      <w:r w:rsidRPr="00C406BC">
        <w:rPr>
          <w:rFonts w:ascii="Traditional Arabic" w:eastAsia="Calibri" w:hAnsi="Traditional Arabic" w:cs="Traditional Arabic"/>
          <w:sz w:val="40"/>
          <w:szCs w:val="40"/>
          <w:rtl/>
        </w:rPr>
        <w:t>وأمام هذه المعطيات التي لا نجد مجالاً للتفصيل فيها، لابد من اعتماد قدر أكبر في الحديث عن المدة اللازمة لعدم سماع الدعوى في نظام الأوراق التجارية السعودي وفق ما يأتي</w:t>
      </w:r>
      <w:r w:rsidRPr="00C406BC">
        <w:rPr>
          <w:rFonts w:ascii="Traditional Arabic" w:eastAsia="Calibri" w:hAnsi="Traditional Arabic" w:cs="Traditional Arabic"/>
          <w:sz w:val="40"/>
          <w:szCs w:val="40"/>
        </w:rPr>
        <w:t>:</w:t>
      </w:r>
      <w:r w:rsidRPr="00C406BC">
        <w:rPr>
          <w:rFonts w:ascii="Traditional Arabic" w:eastAsia="Calibri" w:hAnsi="Traditional Arabic" w:cs="Traditional Arabic"/>
          <w:sz w:val="40"/>
          <w:szCs w:val="40"/>
          <w:vertAlign w:val="superscript"/>
        </w:rPr>
        <w:footnoteReference w:id="50"/>
      </w:r>
    </w:p>
    <w:p w14:paraId="5D8F725A" w14:textId="1B19971D" w:rsidR="00286DB0" w:rsidRPr="007312C5" w:rsidRDefault="00C2431A" w:rsidP="00C2431A">
      <w:pPr>
        <w:spacing w:after="240" w:line="360" w:lineRule="auto"/>
        <w:contextualSpacing/>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lastRenderedPageBreak/>
        <w:t>أولا:</w:t>
      </w:r>
      <w:r w:rsidRPr="00C2431A">
        <w:rPr>
          <w:rFonts w:ascii="Traditional Arabic" w:eastAsia="Calibri" w:hAnsi="Traditional Arabic" w:cs="Traditional Arabic" w:hint="cs"/>
          <w:sz w:val="40"/>
          <w:szCs w:val="40"/>
          <w:rtl/>
        </w:rPr>
        <w:t xml:space="preserve"> محر</w:t>
      </w:r>
      <w:r w:rsidRPr="00C2431A">
        <w:rPr>
          <w:rFonts w:ascii="Traditional Arabic" w:eastAsia="Calibri" w:hAnsi="Traditional Arabic" w:cs="Traditional Arabic" w:hint="eastAsia"/>
          <w:sz w:val="40"/>
          <w:szCs w:val="40"/>
          <w:rtl/>
        </w:rPr>
        <w:t>ر</w:t>
      </w:r>
      <w:r w:rsidR="00286DB0" w:rsidRPr="00C2431A">
        <w:rPr>
          <w:rFonts w:ascii="Traditional Arabic" w:eastAsia="Calibri" w:hAnsi="Traditional Arabic" w:cs="Traditional Arabic"/>
          <w:sz w:val="40"/>
          <w:szCs w:val="40"/>
          <w:rtl/>
        </w:rPr>
        <w:t xml:space="preserve"> </w:t>
      </w:r>
      <w:r w:rsidR="003074AF" w:rsidRPr="00C2431A">
        <w:rPr>
          <w:rFonts w:ascii="Traditional Arabic" w:eastAsia="Calibri" w:hAnsi="Traditional Arabic" w:cs="Traditional Arabic" w:hint="cs"/>
          <w:sz w:val="40"/>
          <w:szCs w:val="40"/>
          <w:rtl/>
        </w:rPr>
        <w:t>السند</w:t>
      </w:r>
      <w:r w:rsidR="003074AF" w:rsidRPr="00C406BC">
        <w:rPr>
          <w:rFonts w:ascii="Traditional Arabic" w:eastAsia="Calibri" w:hAnsi="Traditional Arabic" w:cs="Traditional Arabic"/>
          <w:b/>
          <w:bCs/>
          <w:sz w:val="40"/>
          <w:szCs w:val="40"/>
        </w:rPr>
        <w:t>:</w:t>
      </w:r>
      <w:r w:rsidR="003074AF" w:rsidRPr="00C406BC">
        <w:rPr>
          <w:rFonts w:ascii="Traditional Arabic" w:eastAsia="Calibri" w:hAnsi="Traditional Arabic" w:cs="Traditional Arabic"/>
          <w:sz w:val="40"/>
          <w:szCs w:val="40"/>
        </w:rPr>
        <w:t xml:space="preserve"> </w:t>
      </w:r>
      <w:r w:rsidR="003074AF" w:rsidRPr="00C406BC">
        <w:rPr>
          <w:rFonts w:ascii="Traditional Arabic" w:eastAsia="Calibri" w:hAnsi="Traditional Arabic" w:cs="Traditional Arabic" w:hint="cs"/>
          <w:sz w:val="40"/>
          <w:szCs w:val="40"/>
          <w:rtl/>
        </w:rPr>
        <w:t>نظراً</w:t>
      </w:r>
      <w:r w:rsidR="00286DB0" w:rsidRPr="00C406BC">
        <w:rPr>
          <w:rFonts w:ascii="Traditional Arabic" w:eastAsia="Calibri" w:hAnsi="Traditional Arabic" w:cs="Traditional Arabic"/>
          <w:sz w:val="40"/>
          <w:szCs w:val="40"/>
          <w:rtl/>
        </w:rPr>
        <w:t xml:space="preserve"> لأن لأمر يعتبر في مركز قابل للكمبيالة وفقاً للمادة، فإن مدة عدم سماع الدعوى بالنسبة لمحرر السند لأمر هي ثلاث سنوات من تاريخ الاستحقاق، أو من تاريخ احتجاج عدم الوفاء، أو من تاريخ تقديم السند لأمر للوفاء، أو منذ انتهاء مدة الاطلاع</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w:t>
      </w:r>
      <w:r w:rsidR="00286DB0" w:rsidRPr="007312C5">
        <w:rPr>
          <w:rFonts w:ascii="Traditional Arabic" w:eastAsia="Calibri" w:hAnsi="Traditional Arabic" w:cs="Traditional Arabic"/>
          <w:sz w:val="40"/>
          <w:szCs w:val="40"/>
          <w:rtl/>
        </w:rPr>
        <w:t xml:space="preserve">من تاريخ السند لأمر على اختلاف الطبيعة التي </w:t>
      </w:r>
      <w:r w:rsidR="005B5898" w:rsidRPr="007312C5">
        <w:rPr>
          <w:rFonts w:ascii="Traditional Arabic" w:eastAsia="Calibri" w:hAnsi="Traditional Arabic" w:cs="Traditional Arabic" w:hint="cs"/>
          <w:sz w:val="40"/>
          <w:szCs w:val="40"/>
          <w:rtl/>
        </w:rPr>
        <w:t>أنشئ</w:t>
      </w:r>
      <w:r w:rsidR="00286DB0" w:rsidRPr="007312C5">
        <w:rPr>
          <w:rFonts w:ascii="Traditional Arabic" w:eastAsia="Calibri" w:hAnsi="Traditional Arabic" w:cs="Traditional Arabic"/>
          <w:sz w:val="40"/>
          <w:szCs w:val="40"/>
          <w:rtl/>
        </w:rPr>
        <w:t xml:space="preserve"> لأجلها السند لأمر</w:t>
      </w:r>
      <w:r w:rsidR="00286DB0" w:rsidRPr="007312C5">
        <w:rPr>
          <w:rFonts w:ascii="Traditional Arabic" w:eastAsia="Calibri" w:hAnsi="Traditional Arabic" w:cs="Traditional Arabic"/>
          <w:sz w:val="40"/>
          <w:szCs w:val="40"/>
        </w:rPr>
        <w:t>.</w:t>
      </w:r>
    </w:p>
    <w:p w14:paraId="6322C69B" w14:textId="149E0DE0" w:rsidR="00286DB0" w:rsidRPr="00C406BC" w:rsidRDefault="007312C5" w:rsidP="00DF629C">
      <w:pPr>
        <w:spacing w:after="240" w:line="360" w:lineRule="auto"/>
        <w:contextualSpacing/>
        <w:rPr>
          <w:rFonts w:ascii="Traditional Arabic" w:eastAsia="Calibri" w:hAnsi="Traditional Arabic" w:cs="Traditional Arabic"/>
          <w:sz w:val="40"/>
          <w:szCs w:val="40"/>
        </w:rPr>
      </w:pPr>
      <w:r w:rsidRPr="007312C5">
        <w:rPr>
          <w:rFonts w:ascii="Traditional Arabic" w:eastAsia="Calibri" w:hAnsi="Traditional Arabic" w:cs="Traditional Arabic" w:hint="cs"/>
          <w:sz w:val="40"/>
          <w:szCs w:val="40"/>
          <w:rtl/>
        </w:rPr>
        <w:t xml:space="preserve">ثانيا: </w:t>
      </w:r>
      <w:r w:rsidR="00286DB0" w:rsidRPr="007312C5">
        <w:rPr>
          <w:rFonts w:ascii="Traditional Arabic" w:eastAsia="Calibri" w:hAnsi="Traditional Arabic" w:cs="Traditional Arabic"/>
          <w:sz w:val="40"/>
          <w:szCs w:val="40"/>
          <w:rtl/>
        </w:rPr>
        <w:t>الحامل</w:t>
      </w:r>
      <w:r w:rsidR="003074AF">
        <w:rPr>
          <w:rFonts w:ascii="Traditional Arabic" w:eastAsia="Calibri" w:hAnsi="Traditional Arabic" w:cs="Traditional Arabic" w:hint="cs"/>
          <w:sz w:val="40"/>
          <w:szCs w:val="40"/>
          <w:rtl/>
        </w:rPr>
        <w:t>،</w:t>
      </w:r>
      <w:r w:rsidR="00286DB0" w:rsidRPr="007312C5">
        <w:rPr>
          <w:rFonts w:ascii="Traditional Arabic" w:eastAsia="Calibri" w:hAnsi="Traditional Arabic" w:cs="Traditional Arabic"/>
          <w:sz w:val="40"/>
          <w:szCs w:val="40"/>
          <w:rtl/>
        </w:rPr>
        <w:t xml:space="preserve"> </w:t>
      </w:r>
      <w:r w:rsidR="003074AF" w:rsidRPr="007312C5">
        <w:rPr>
          <w:rFonts w:ascii="Traditional Arabic" w:eastAsia="Calibri" w:hAnsi="Traditional Arabic" w:cs="Traditional Arabic" w:hint="cs"/>
          <w:sz w:val="40"/>
          <w:szCs w:val="40"/>
          <w:rtl/>
        </w:rPr>
        <w:t>وضامنيه</w:t>
      </w:r>
      <w:r w:rsidR="003074AF">
        <w:rPr>
          <w:rFonts w:ascii="Traditional Arabic" w:eastAsia="Calibri" w:hAnsi="Traditional Arabic" w:cs="Traditional Arabic" w:hint="cs"/>
          <w:sz w:val="40"/>
          <w:szCs w:val="40"/>
          <w:rtl/>
        </w:rPr>
        <w:t>ا</w:t>
      </w:r>
      <w:r w:rsidR="003074AF">
        <w:rPr>
          <w:rFonts w:ascii="Traditional Arabic" w:eastAsia="Calibri" w:hAnsi="Traditional Arabic" w:cs="Traditional Arabic"/>
          <w:sz w:val="40"/>
          <w:szCs w:val="40"/>
        </w:rPr>
        <w:t>:</w:t>
      </w:r>
      <w:r w:rsidR="003074AF" w:rsidRPr="00C406BC">
        <w:rPr>
          <w:rFonts w:ascii="Traditional Arabic" w:eastAsia="Calibri" w:hAnsi="Traditional Arabic" w:cs="Traditional Arabic" w:hint="cs"/>
          <w:sz w:val="40"/>
          <w:szCs w:val="40"/>
          <w:rtl/>
        </w:rPr>
        <w:t xml:space="preserve"> الرجو</w:t>
      </w:r>
      <w:r w:rsidR="003074AF" w:rsidRPr="00C406BC">
        <w:rPr>
          <w:rFonts w:ascii="Traditional Arabic" w:eastAsia="Calibri" w:hAnsi="Traditional Arabic" w:cs="Traditional Arabic" w:hint="eastAsia"/>
          <w:sz w:val="40"/>
          <w:szCs w:val="40"/>
          <w:rtl/>
        </w:rPr>
        <w:t>ع</w:t>
      </w:r>
      <w:r w:rsidR="00286DB0" w:rsidRPr="00C406BC">
        <w:rPr>
          <w:rFonts w:ascii="Traditional Arabic" w:eastAsia="Calibri" w:hAnsi="Traditional Arabic" w:cs="Traditional Arabic"/>
          <w:sz w:val="40"/>
          <w:szCs w:val="40"/>
          <w:rtl/>
        </w:rPr>
        <w:t xml:space="preserve"> على المظهرين</w:t>
      </w:r>
      <w:r w:rsidR="003074AF">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وضامنيهم</w:t>
      </w:r>
      <w:r w:rsidR="003074AF">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ومدة عدم سماع الدعوى بالنسبة لهم هي سنة واحدة من تاريخ احتجاج عدم الوفاء، أو من تاريخ الاستحقاق، وذلك في حالة الإعفاء من تحرير احتجاج عدم الوفاء</w:t>
      </w:r>
      <w:r w:rsidR="00286DB0" w:rsidRPr="00C406BC">
        <w:rPr>
          <w:rFonts w:ascii="Traditional Arabic" w:eastAsia="Calibri" w:hAnsi="Traditional Arabic" w:cs="Traditional Arabic"/>
          <w:sz w:val="40"/>
          <w:szCs w:val="40"/>
        </w:rPr>
        <w:t>.</w:t>
      </w:r>
    </w:p>
    <w:p w14:paraId="482A05F8" w14:textId="2DB27904" w:rsidR="00286DB0" w:rsidRPr="003074AF" w:rsidRDefault="003074AF" w:rsidP="003074AF">
      <w:pPr>
        <w:spacing w:after="240" w:line="360" w:lineRule="auto"/>
        <w:contextualSpacing/>
        <w:rPr>
          <w:rFonts w:ascii="Traditional Arabic" w:eastAsia="Calibri" w:hAnsi="Traditional Arabic" w:cs="Traditional Arabic"/>
          <w:sz w:val="40"/>
          <w:szCs w:val="40"/>
        </w:rPr>
      </w:pPr>
      <w:r w:rsidRPr="003074AF">
        <w:rPr>
          <w:rFonts w:ascii="Traditional Arabic" w:eastAsia="Calibri" w:hAnsi="Traditional Arabic" w:cs="Traditional Arabic" w:hint="cs"/>
          <w:sz w:val="40"/>
          <w:szCs w:val="40"/>
          <w:rtl/>
        </w:rPr>
        <w:t>ثالثا: المظهري</w:t>
      </w:r>
      <w:r w:rsidRPr="003074AF">
        <w:rPr>
          <w:rFonts w:ascii="Traditional Arabic" w:eastAsia="Calibri" w:hAnsi="Traditional Arabic" w:cs="Traditional Arabic" w:hint="eastAsia"/>
          <w:sz w:val="40"/>
          <w:szCs w:val="40"/>
          <w:rtl/>
        </w:rPr>
        <w:t>ن</w:t>
      </w:r>
      <w:r w:rsidR="00286DB0" w:rsidRPr="003074AF">
        <w:rPr>
          <w:rFonts w:ascii="Traditional Arabic" w:eastAsia="Calibri" w:hAnsi="Traditional Arabic" w:cs="Traditional Arabic"/>
          <w:sz w:val="40"/>
          <w:szCs w:val="40"/>
        </w:rPr>
        <w:t xml:space="preserve">: </w:t>
      </w:r>
      <w:r w:rsidR="00286DB0" w:rsidRPr="003074AF">
        <w:rPr>
          <w:rFonts w:ascii="Traditional Arabic" w:eastAsia="Calibri" w:hAnsi="Traditional Arabic" w:cs="Traditional Arabic"/>
          <w:sz w:val="40"/>
          <w:szCs w:val="40"/>
          <w:rtl/>
        </w:rPr>
        <w:t>الرجوع</w:t>
      </w:r>
      <w:r w:rsidR="00286DB0" w:rsidRPr="00C406BC">
        <w:rPr>
          <w:rFonts w:ascii="Traditional Arabic" w:eastAsia="Calibri" w:hAnsi="Traditional Arabic" w:cs="Traditional Arabic"/>
          <w:sz w:val="40"/>
          <w:szCs w:val="40"/>
          <w:rtl/>
        </w:rPr>
        <w:t xml:space="preserve"> المظهرين على بعضهم الآخر، ومدة عدم سماع الدعوى بالنسبة لهؤلاء </w:t>
      </w:r>
      <w:r w:rsidR="00286DB0" w:rsidRPr="003074AF">
        <w:rPr>
          <w:rFonts w:ascii="Traditional Arabic" w:eastAsia="Calibri" w:hAnsi="Traditional Arabic" w:cs="Traditional Arabic"/>
          <w:sz w:val="40"/>
          <w:szCs w:val="40"/>
          <w:rtl/>
        </w:rPr>
        <w:t>هي ستة أشهر من تاريخ الوفاء، أو من تاريخ مطالبته بالوفاء</w:t>
      </w:r>
      <w:r w:rsidR="00286DB0" w:rsidRPr="003074AF">
        <w:rPr>
          <w:rFonts w:ascii="Traditional Arabic" w:eastAsia="Calibri" w:hAnsi="Traditional Arabic" w:cs="Traditional Arabic"/>
          <w:sz w:val="40"/>
          <w:szCs w:val="40"/>
        </w:rPr>
        <w:t>.</w:t>
      </w:r>
    </w:p>
    <w:p w14:paraId="0F33D6E2" w14:textId="0B791972" w:rsidR="00286DB0" w:rsidRPr="003074AF" w:rsidRDefault="003074AF" w:rsidP="003074AF">
      <w:pPr>
        <w:spacing w:after="240" w:line="360" w:lineRule="auto"/>
        <w:contextualSpacing/>
        <w:rPr>
          <w:rFonts w:ascii="Traditional Arabic" w:eastAsia="Calibri" w:hAnsi="Traditional Arabic" w:cs="Traditional Arabic"/>
          <w:sz w:val="40"/>
          <w:szCs w:val="40"/>
          <w:rtl/>
        </w:rPr>
      </w:pPr>
      <w:r w:rsidRPr="003074AF">
        <w:rPr>
          <w:rFonts w:ascii="Traditional Arabic" w:eastAsia="Calibri" w:hAnsi="Traditional Arabic" w:cs="Traditional Arabic" w:hint="cs"/>
          <w:sz w:val="40"/>
          <w:szCs w:val="40"/>
          <w:rtl/>
        </w:rPr>
        <w:t>3-</w:t>
      </w:r>
      <w:r w:rsidR="00286DB0" w:rsidRPr="003074AF">
        <w:rPr>
          <w:rFonts w:ascii="Traditional Arabic" w:eastAsia="Calibri" w:hAnsi="Traditional Arabic" w:cs="Traditional Arabic"/>
          <w:sz w:val="40"/>
          <w:szCs w:val="40"/>
          <w:rtl/>
        </w:rPr>
        <w:t>الشيك</w:t>
      </w:r>
      <w:r w:rsidRPr="003074AF">
        <w:rPr>
          <w:rFonts w:ascii="Traditional Arabic" w:eastAsia="Calibri" w:hAnsi="Traditional Arabic" w:cs="Traditional Arabic" w:hint="cs"/>
          <w:sz w:val="40"/>
          <w:szCs w:val="40"/>
          <w:rtl/>
        </w:rPr>
        <w:t>:</w:t>
      </w:r>
    </w:p>
    <w:p w14:paraId="4632F0AF" w14:textId="03A7007A" w:rsidR="00286DB0" w:rsidRPr="00C406BC" w:rsidRDefault="00286DB0" w:rsidP="007B0277">
      <w:pPr>
        <w:spacing w:after="240" w:line="360" w:lineRule="auto"/>
        <w:ind w:firstLine="720"/>
        <w:jc w:val="both"/>
        <w:rPr>
          <w:rFonts w:ascii="Traditional Arabic" w:eastAsia="Calibri" w:hAnsi="Traditional Arabic" w:cs="Traditional Arabic"/>
          <w:sz w:val="40"/>
          <w:szCs w:val="40"/>
        </w:rPr>
      </w:pPr>
      <w:r w:rsidRPr="00C406BC">
        <w:rPr>
          <w:rFonts w:ascii="Traditional Arabic" w:eastAsia="Calibri" w:hAnsi="Traditional Arabic" w:cs="Traditional Arabic"/>
          <w:sz w:val="40"/>
          <w:szCs w:val="40"/>
          <w:rtl/>
        </w:rPr>
        <w:t>يكاد ما ذكرنا هنا بشأن الكمبيالة</w:t>
      </w:r>
      <w:r w:rsidR="003074AF">
        <w:rPr>
          <w:rFonts w:ascii="Traditional Arabic" w:eastAsia="Calibri" w:hAnsi="Traditional Arabic" w:cs="Traditional Arabic" w:hint="cs"/>
          <w:sz w:val="40"/>
          <w:szCs w:val="40"/>
          <w:rtl/>
        </w:rPr>
        <w:t xml:space="preserve">، </w:t>
      </w:r>
      <w:r w:rsidRPr="00C406BC">
        <w:rPr>
          <w:rFonts w:ascii="Traditional Arabic" w:eastAsia="Calibri" w:hAnsi="Traditional Arabic" w:cs="Traditional Arabic"/>
          <w:sz w:val="40"/>
          <w:szCs w:val="40"/>
          <w:rtl/>
        </w:rPr>
        <w:t xml:space="preserve">والسند لأمر </w:t>
      </w:r>
      <w:r w:rsidR="003074AF">
        <w:rPr>
          <w:rFonts w:ascii="Traditional Arabic" w:eastAsia="Calibri" w:hAnsi="Traditional Arabic" w:cs="Traditional Arabic" w:hint="cs"/>
          <w:sz w:val="40"/>
          <w:szCs w:val="40"/>
          <w:rtl/>
        </w:rPr>
        <w:t>أن</w:t>
      </w:r>
      <w:r w:rsidRPr="00C406BC">
        <w:rPr>
          <w:rFonts w:ascii="Traditional Arabic" w:eastAsia="Calibri" w:hAnsi="Traditional Arabic" w:cs="Traditional Arabic"/>
          <w:sz w:val="40"/>
          <w:szCs w:val="40"/>
          <w:rtl/>
        </w:rPr>
        <w:t xml:space="preserve"> يكون هو كل </w:t>
      </w:r>
      <w:r w:rsidR="003074AF" w:rsidRPr="00C406BC">
        <w:rPr>
          <w:rFonts w:ascii="Traditional Arabic" w:eastAsia="Calibri" w:hAnsi="Traditional Arabic" w:cs="Traditional Arabic" w:hint="cs"/>
          <w:sz w:val="40"/>
          <w:szCs w:val="40"/>
          <w:rtl/>
        </w:rPr>
        <w:t>ما جا</w:t>
      </w:r>
      <w:r w:rsidR="003074AF" w:rsidRPr="00C406BC">
        <w:rPr>
          <w:rFonts w:ascii="Traditional Arabic" w:eastAsia="Calibri" w:hAnsi="Traditional Arabic" w:cs="Traditional Arabic" w:hint="eastAsia"/>
          <w:sz w:val="40"/>
          <w:szCs w:val="40"/>
          <w:rtl/>
        </w:rPr>
        <w:t>ء</w:t>
      </w:r>
      <w:r w:rsidRPr="00C406BC">
        <w:rPr>
          <w:rFonts w:ascii="Traditional Arabic" w:eastAsia="Calibri" w:hAnsi="Traditional Arabic" w:cs="Traditional Arabic"/>
          <w:sz w:val="40"/>
          <w:szCs w:val="40"/>
          <w:rtl/>
        </w:rPr>
        <w:t xml:space="preserve"> به النظام</w:t>
      </w:r>
      <w:r w:rsidR="003074AF">
        <w:rPr>
          <w:rFonts w:ascii="Traditional Arabic" w:eastAsia="Calibri" w:hAnsi="Traditional Arabic" w:cs="Traditional Arabic" w:hint="cs"/>
          <w:sz w:val="40"/>
          <w:szCs w:val="40"/>
          <w:rtl/>
        </w:rPr>
        <w:t xml:space="preserve">، </w:t>
      </w:r>
      <w:r w:rsidRPr="00C406BC">
        <w:rPr>
          <w:rFonts w:ascii="Traditional Arabic" w:eastAsia="Calibri" w:hAnsi="Traditional Arabic" w:cs="Traditional Arabic"/>
          <w:sz w:val="40"/>
          <w:szCs w:val="40"/>
          <w:rtl/>
        </w:rPr>
        <w:t>وبصفة خاصة فيما يتعلق بمدة عدم سماع الدعوى</w:t>
      </w:r>
      <w:r w:rsidR="003074AF">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وطبيعة المنهج الذي نسلكه في هذا البحث تفرض علينا ذكرهما دون تفاصيل</w:t>
      </w:r>
      <w:r w:rsidR="003074AF">
        <w:rPr>
          <w:rFonts w:ascii="Traditional Arabic" w:eastAsia="Calibri" w:hAnsi="Traditional Arabic" w:cs="Traditional Arabic" w:hint="cs"/>
          <w:sz w:val="40"/>
          <w:szCs w:val="40"/>
          <w:rtl/>
        </w:rPr>
        <w:t xml:space="preserve">، </w:t>
      </w:r>
      <w:r w:rsidRPr="00C406BC">
        <w:rPr>
          <w:rFonts w:ascii="Traditional Arabic" w:eastAsia="Calibri" w:hAnsi="Traditional Arabic" w:cs="Traditional Arabic"/>
          <w:sz w:val="40"/>
          <w:szCs w:val="40"/>
          <w:rtl/>
        </w:rPr>
        <w:t xml:space="preserve"> غير أن هناك موضوعاً لم يكن أهم منها</w:t>
      </w:r>
      <w:r w:rsidR="003074AF">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ولكنه كان هو مجال الدراسة المقترح ، ويتعلق الأمر بأحكام الشيك</w:t>
      </w:r>
      <w:r w:rsidR="003074AF">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وخاصة فيما يتعلق بأثر التقادم الصرفي - </w:t>
      </w:r>
      <w:r w:rsidRPr="00C406BC">
        <w:rPr>
          <w:rFonts w:ascii="Traditional Arabic" w:eastAsia="Calibri" w:hAnsi="Traditional Arabic" w:cs="Traditional Arabic"/>
          <w:sz w:val="40"/>
          <w:szCs w:val="40"/>
          <w:rtl/>
        </w:rPr>
        <w:lastRenderedPageBreak/>
        <w:t xml:space="preserve">عدم سماع الدعوى - ذلك أن الشيك لم يكن بأوفر حظاً من السند لأمر بالنسبة لبعض القوانين التجارية ، حيث لم تشر إليه أصلاً ضمن الأوراق التجارية ، كما لم تشر إليه بعض القوانين من بين الأوراق التجارية الخاضعة لأحكام التقادم ، ومن بين تلك القوانين القانون </w:t>
      </w:r>
      <w:r w:rsidR="003074AF" w:rsidRPr="00C406BC">
        <w:rPr>
          <w:rFonts w:ascii="Traditional Arabic" w:eastAsia="Calibri" w:hAnsi="Traditional Arabic" w:cs="Traditional Arabic" w:hint="cs"/>
          <w:sz w:val="40"/>
          <w:szCs w:val="40"/>
          <w:rtl/>
        </w:rPr>
        <w:t>التجاري</w:t>
      </w:r>
      <w:r w:rsidRPr="00C406BC">
        <w:rPr>
          <w:rFonts w:ascii="Traditional Arabic" w:eastAsia="Calibri" w:hAnsi="Traditional Arabic" w:cs="Traditional Arabic"/>
          <w:sz w:val="40"/>
          <w:szCs w:val="40"/>
          <w:rtl/>
        </w:rPr>
        <w:t xml:space="preserve"> الفرنسي</w:t>
      </w:r>
      <w:r w:rsidR="003074AF">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حيث استمر الوضع وفق ما تقدم حتى صدر قانون في ١٨٦٥/٦/١٤م ، بتنظيم الشيك تنظيماً شاملاً</w:t>
      </w:r>
      <w:r w:rsidR="007B0277">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ولكنه مع ذلك لم ينص على أحكام التقادم التي يخضع لها الشيك ، وهل هو التقادم العادي وفقاً للقواعد العامة ، أم التقادم الصرفي المقرر للالتزامات الناشئة عن الأوراق التجارية</w:t>
      </w:r>
      <w:r w:rsidR="007B0277">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أما على مستوى القوانين العربية</w:t>
      </w:r>
      <w:r w:rsidR="007B0277">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فإن المجموعة التجارية المصرية ، قد</w:t>
      </w:r>
      <w:r w:rsidR="007B0277">
        <w:rPr>
          <w:rFonts w:ascii="Traditional Arabic" w:eastAsia="Calibri" w:hAnsi="Traditional Arabic" w:cs="Traditional Arabic" w:hint="cs"/>
          <w:sz w:val="40"/>
          <w:szCs w:val="40"/>
          <w:rtl/>
        </w:rPr>
        <w:t xml:space="preserve"> أغفلت</w:t>
      </w:r>
      <w:r w:rsidRPr="00C406BC">
        <w:rPr>
          <w:rFonts w:ascii="Traditional Arabic" w:eastAsia="Calibri" w:hAnsi="Traditional Arabic" w:cs="Traditional Arabic"/>
          <w:sz w:val="40"/>
          <w:szCs w:val="40"/>
          <w:rtl/>
        </w:rPr>
        <w:t xml:space="preserve"> ذكر الشيك بين الأعمال التجارية التي عددتها في المادة الثانية من تلك المجموعة</w:t>
      </w:r>
      <w:r w:rsidR="007B0277">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ولكنها لم تهمل أمر الشيك إهمالاً تاماً ، بل اختصته المواد (</w:t>
      </w:r>
      <w:r w:rsidRPr="00C406BC">
        <w:rPr>
          <w:rFonts w:ascii="Traditional Arabic" w:eastAsia="Calibri" w:hAnsi="Traditional Arabic" w:cs="Traditional Arabic"/>
          <w:sz w:val="40"/>
          <w:szCs w:val="40"/>
          <w:rtl/>
          <w:lang w:bidi="fa-IR"/>
        </w:rPr>
        <w:t>۱۹۱-۱۹۳)</w:t>
      </w:r>
      <w:r w:rsidR="007B0277">
        <w:rPr>
          <w:rFonts w:ascii="Traditional Arabic" w:eastAsia="Calibri" w:hAnsi="Traditional Arabic" w:cs="Traditional Arabic" w:hint="cs"/>
          <w:sz w:val="40"/>
          <w:szCs w:val="40"/>
          <w:rtl/>
          <w:lang w:bidi="fa-IR"/>
        </w:rPr>
        <w:t>،</w:t>
      </w:r>
      <w:r w:rsidRPr="00C406BC">
        <w:rPr>
          <w:rFonts w:ascii="Traditional Arabic" w:eastAsia="Calibri" w:hAnsi="Traditional Arabic" w:cs="Traditional Arabic"/>
          <w:sz w:val="40"/>
          <w:szCs w:val="40"/>
          <w:rtl/>
          <w:lang w:bidi="fa-IR"/>
        </w:rPr>
        <w:t xml:space="preserve"> </w:t>
      </w:r>
      <w:r w:rsidRPr="00C406BC">
        <w:rPr>
          <w:rFonts w:ascii="Traditional Arabic" w:eastAsia="Calibri" w:hAnsi="Traditional Arabic" w:cs="Traditional Arabic"/>
          <w:sz w:val="40"/>
          <w:szCs w:val="40"/>
          <w:rtl/>
        </w:rPr>
        <w:t>وأطلقت عليه لفظ أوراق الحوالات الواجبة الدفع بمجرد الاطلاع عليها ، والأوراق المتضمنة أمراً بالدفع ، ومع ذلك</w:t>
      </w:r>
      <w:r w:rsidR="007B0277">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فقد نص النظام المصري في المادة ( ١٩٤) تجاري على الشيك</w:t>
      </w:r>
      <w:r w:rsidR="007B0277">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وهو بصدد تعداد الأوراق التجارية الخاضعة لأحكام التقادم الصرفي</w:t>
      </w:r>
      <w:r w:rsidR="007B0277">
        <w:rPr>
          <w:rFonts w:ascii="Traditional Arabic" w:eastAsia="Calibri" w:hAnsi="Traditional Arabic" w:cs="Traditional Arabic" w:hint="cs"/>
          <w:sz w:val="40"/>
          <w:szCs w:val="40"/>
          <w:rtl/>
        </w:rPr>
        <w:t>، وهناك تساؤل</w:t>
      </w:r>
      <w:r w:rsidRPr="00C406BC">
        <w:rPr>
          <w:rFonts w:ascii="Traditional Arabic" w:eastAsia="Calibri" w:hAnsi="Traditional Arabic" w:cs="Traditional Arabic"/>
          <w:sz w:val="40"/>
          <w:szCs w:val="40"/>
          <w:rtl/>
        </w:rPr>
        <w:t xml:space="preserve"> يفرض نفسه الآن بعد أن </w:t>
      </w:r>
      <w:r w:rsidR="007B0277">
        <w:rPr>
          <w:rFonts w:ascii="Traditional Arabic" w:eastAsia="Calibri" w:hAnsi="Traditional Arabic" w:cs="Traditional Arabic" w:hint="cs"/>
          <w:sz w:val="40"/>
          <w:szCs w:val="40"/>
          <w:rtl/>
        </w:rPr>
        <w:t>الحديث</w:t>
      </w:r>
      <w:r w:rsidRPr="00C406BC">
        <w:rPr>
          <w:rFonts w:ascii="Traditional Arabic" w:eastAsia="Calibri" w:hAnsi="Traditional Arabic" w:cs="Traditional Arabic"/>
          <w:sz w:val="40"/>
          <w:szCs w:val="40"/>
          <w:rtl/>
        </w:rPr>
        <w:t xml:space="preserve"> عن الطبيعة التي تحكم كلاً من الشيك والسند لأمر ، </w:t>
      </w:r>
      <w:r w:rsidR="007B0277">
        <w:rPr>
          <w:rFonts w:ascii="Traditional Arabic" w:eastAsia="Calibri" w:hAnsi="Traditional Arabic" w:cs="Traditional Arabic" w:hint="cs"/>
          <w:sz w:val="40"/>
          <w:szCs w:val="40"/>
          <w:rtl/>
        </w:rPr>
        <w:t>هو عن</w:t>
      </w:r>
      <w:r w:rsidRPr="00C406BC">
        <w:rPr>
          <w:rFonts w:ascii="Traditional Arabic" w:eastAsia="Calibri" w:hAnsi="Traditional Arabic" w:cs="Traditional Arabic"/>
          <w:sz w:val="40"/>
          <w:szCs w:val="40"/>
          <w:rtl/>
        </w:rPr>
        <w:t xml:space="preserve"> طبيعة الشيك </w:t>
      </w:r>
      <w:r w:rsidR="007B0277">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w:t>
      </w:r>
      <w:r w:rsidR="007B0277">
        <w:rPr>
          <w:rFonts w:ascii="Traditional Arabic" w:eastAsia="Calibri" w:hAnsi="Traditional Arabic" w:cs="Traditional Arabic" w:hint="cs"/>
          <w:sz w:val="40"/>
          <w:szCs w:val="40"/>
          <w:rtl/>
        </w:rPr>
        <w:t>ما إذا كان</w:t>
      </w:r>
      <w:r w:rsidRPr="00C406BC">
        <w:rPr>
          <w:rFonts w:ascii="Traditional Arabic" w:eastAsia="Calibri" w:hAnsi="Traditional Arabic" w:cs="Traditional Arabic"/>
          <w:sz w:val="40"/>
          <w:szCs w:val="40"/>
          <w:rtl/>
        </w:rPr>
        <w:t xml:space="preserve"> يعد ورقة تجارية في جميع الصور كما هو الحال بالنسبة للكمبيالة</w:t>
      </w:r>
      <w:r w:rsidR="007B0277">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ومن ثم تخضع الالتزامات الناشئة عنه لأحكام التقادم الصرفي ، أم يعد </w:t>
      </w:r>
      <w:r w:rsidR="007B0277">
        <w:rPr>
          <w:rFonts w:ascii="Traditional Arabic" w:eastAsia="Calibri" w:hAnsi="Traditional Arabic" w:cs="Traditional Arabic" w:hint="cs"/>
          <w:sz w:val="40"/>
          <w:szCs w:val="40"/>
          <w:rtl/>
        </w:rPr>
        <w:t xml:space="preserve"> </w:t>
      </w:r>
      <w:r w:rsidR="007B0277">
        <w:rPr>
          <w:rFonts w:ascii="Traditional Arabic" w:eastAsia="Calibri" w:hAnsi="Traditional Arabic" w:cs="Traditional Arabic" w:hint="cs"/>
          <w:sz w:val="40"/>
          <w:szCs w:val="40"/>
          <w:rtl/>
        </w:rPr>
        <w:lastRenderedPageBreak/>
        <w:t xml:space="preserve">أنه يعد </w:t>
      </w:r>
      <w:r w:rsidRPr="00C406BC">
        <w:rPr>
          <w:rFonts w:ascii="Traditional Arabic" w:eastAsia="Calibri" w:hAnsi="Traditional Arabic" w:cs="Traditional Arabic"/>
          <w:sz w:val="40"/>
          <w:szCs w:val="40"/>
          <w:rtl/>
        </w:rPr>
        <w:t>في صورة دون أخرى ورقة تجارية</w:t>
      </w:r>
      <w:r w:rsidR="007B0277">
        <w:rPr>
          <w:rFonts w:ascii="Traditional Arabic" w:eastAsia="Calibri" w:hAnsi="Traditional Arabic" w:cs="Traditional Arabic" w:hint="cs"/>
          <w:sz w:val="40"/>
          <w:szCs w:val="40"/>
          <w:rtl/>
        </w:rPr>
        <w:t>، فيكون</w:t>
      </w:r>
      <w:r w:rsidRPr="00C406BC">
        <w:rPr>
          <w:rFonts w:ascii="Traditional Arabic" w:eastAsia="Calibri" w:hAnsi="Traditional Arabic" w:cs="Traditional Arabic"/>
          <w:sz w:val="40"/>
          <w:szCs w:val="40"/>
          <w:rtl/>
        </w:rPr>
        <w:t xml:space="preserve"> حكمه في ذلك حكم السند لأمر ، أم ينفرد بحكم خاص مغاير لأحكام الكمبيالة والسند لأمر </w:t>
      </w:r>
      <w:r w:rsidRPr="00C406BC">
        <w:rPr>
          <w:rFonts w:ascii="Traditional Arabic" w:eastAsia="Calibri" w:hAnsi="Traditional Arabic" w:cs="Traditional Arabic"/>
          <w:sz w:val="40"/>
          <w:szCs w:val="40"/>
        </w:rPr>
        <w:t xml:space="preserve"> .</w:t>
      </w:r>
      <w:r w:rsidRPr="00C406BC">
        <w:rPr>
          <w:rFonts w:ascii="Traditional Arabic" w:eastAsia="Calibri" w:hAnsi="Traditional Arabic" w:cs="Traditional Arabic"/>
          <w:sz w:val="40"/>
          <w:szCs w:val="40"/>
          <w:vertAlign w:val="superscript"/>
        </w:rPr>
        <w:footnoteReference w:id="51"/>
      </w:r>
    </w:p>
    <w:p w14:paraId="2B48418B" w14:textId="769EB940" w:rsidR="00286DB0" w:rsidRPr="00C406BC" w:rsidRDefault="00286DB0" w:rsidP="00C406BC">
      <w:pPr>
        <w:spacing w:after="240" w:line="360" w:lineRule="auto"/>
        <w:ind w:firstLine="720"/>
        <w:jc w:val="both"/>
        <w:rPr>
          <w:rFonts w:ascii="Traditional Arabic" w:eastAsia="Calibri" w:hAnsi="Traditional Arabic" w:cs="Traditional Arabic"/>
          <w:sz w:val="40"/>
          <w:szCs w:val="40"/>
        </w:rPr>
      </w:pPr>
      <w:r w:rsidRPr="00C406BC">
        <w:rPr>
          <w:rFonts w:ascii="Traditional Arabic" w:eastAsia="Calibri" w:hAnsi="Traditional Arabic" w:cs="Traditional Arabic"/>
          <w:sz w:val="40"/>
          <w:szCs w:val="40"/>
          <w:rtl/>
        </w:rPr>
        <w:t>هناك رأي اعتمد على وجوه الشبه بين الشيك</w:t>
      </w:r>
      <w:r w:rsidR="007B0277">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والكمبيالة ، فرأى قياسه عليها ، واعتبره عملاً تجارياً في جميع الصور</w:t>
      </w:r>
      <w:r w:rsidR="007B0277">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أي تخضع كافة الالتزامات الناشئة عنه لأحكام التقادم الصرفي</w:t>
      </w:r>
      <w:r w:rsidR="007B0277">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w:t>
      </w:r>
      <w:r w:rsidRPr="00C406BC">
        <w:rPr>
          <w:rFonts w:ascii="Traditional Arabic" w:eastAsia="Calibri" w:hAnsi="Traditional Arabic" w:cs="Traditional Arabic"/>
          <w:sz w:val="40"/>
          <w:szCs w:val="40"/>
          <w:rtl/>
          <w:lang w:bidi="fa-IR"/>
        </w:rPr>
        <w:t xml:space="preserve"> </w:t>
      </w:r>
      <w:r w:rsidRPr="00C406BC">
        <w:rPr>
          <w:rFonts w:ascii="Traditional Arabic" w:eastAsia="Calibri" w:hAnsi="Traditional Arabic" w:cs="Traditional Arabic"/>
          <w:sz w:val="40"/>
          <w:szCs w:val="40"/>
          <w:rtl/>
        </w:rPr>
        <w:t>ويلاحظ أن نظام الأوراق التجارية السعودي أدرك التـشابـه الكبير بين الشيك</w:t>
      </w:r>
      <w:r w:rsidR="007B0277">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والكمبيالة</w:t>
      </w:r>
      <w:r w:rsidR="007B0277">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فأخذ بهذا الرأي ، فلم يورد أحكاماً خاصة بالشيك فيما يتعلق بمواطن التشابه ، وبخاصة تلك الجزئيات التي يتماثل فيها الشيك مع الكمبيالة</w:t>
      </w:r>
      <w:r w:rsidR="007B0277">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لأن ذلك سيكون تكراراً </w:t>
      </w:r>
      <w:r w:rsidR="007B0277" w:rsidRPr="00C406BC">
        <w:rPr>
          <w:rFonts w:ascii="Traditional Arabic" w:eastAsia="Calibri" w:hAnsi="Traditional Arabic" w:cs="Traditional Arabic" w:hint="cs"/>
          <w:sz w:val="40"/>
          <w:szCs w:val="40"/>
          <w:rtl/>
        </w:rPr>
        <w:t>لا طائ</w:t>
      </w:r>
      <w:r w:rsidR="007B0277" w:rsidRPr="00C406BC">
        <w:rPr>
          <w:rFonts w:ascii="Traditional Arabic" w:eastAsia="Calibri" w:hAnsi="Traditional Arabic" w:cs="Traditional Arabic" w:hint="eastAsia"/>
          <w:sz w:val="40"/>
          <w:szCs w:val="40"/>
          <w:rtl/>
        </w:rPr>
        <w:t>ل</w:t>
      </w:r>
      <w:r w:rsidRPr="00C406BC">
        <w:rPr>
          <w:rFonts w:ascii="Traditional Arabic" w:eastAsia="Calibri" w:hAnsi="Traditional Arabic" w:cs="Traditional Arabic"/>
          <w:sz w:val="40"/>
          <w:szCs w:val="40"/>
          <w:rtl/>
        </w:rPr>
        <w:t xml:space="preserve"> من ورائه</w:t>
      </w:r>
      <w:r w:rsidR="007B0277">
        <w:rPr>
          <w:rFonts w:ascii="Traditional Arabic" w:eastAsia="Calibri" w:hAnsi="Traditional Arabic" w:cs="Traditional Arabic" w:hint="cs"/>
          <w:sz w:val="40"/>
          <w:szCs w:val="40"/>
          <w:rtl/>
        </w:rPr>
        <w:t xml:space="preserve">، بل </w:t>
      </w:r>
      <w:r w:rsidRPr="00C406BC">
        <w:rPr>
          <w:rFonts w:ascii="Traditional Arabic" w:eastAsia="Calibri" w:hAnsi="Traditional Arabic" w:cs="Traditional Arabic"/>
          <w:sz w:val="40"/>
          <w:szCs w:val="40"/>
          <w:rtl/>
        </w:rPr>
        <w:t>اكتفى بالإحالة إلى القواعد الخاصة بالكمبيالة وفقاً للمادة (</w:t>
      </w:r>
      <w:r w:rsidRPr="00C406BC">
        <w:rPr>
          <w:rFonts w:ascii="Traditional Arabic" w:eastAsia="Calibri" w:hAnsi="Traditional Arabic" w:cs="Traditional Arabic"/>
          <w:sz w:val="40"/>
          <w:szCs w:val="40"/>
          <w:rtl/>
          <w:lang w:bidi="fa-IR"/>
        </w:rPr>
        <w:t>۱۱۷)</w:t>
      </w:r>
      <w:r w:rsidR="007B0277">
        <w:rPr>
          <w:rFonts w:ascii="Traditional Arabic" w:eastAsia="Calibri" w:hAnsi="Traditional Arabic" w:cs="Traditional Arabic" w:hint="cs"/>
          <w:sz w:val="40"/>
          <w:szCs w:val="40"/>
          <w:rtl/>
          <w:lang w:bidi="fa-IR"/>
        </w:rPr>
        <w:t>،،</w:t>
      </w:r>
      <w:r w:rsidRPr="00C406BC">
        <w:rPr>
          <w:rFonts w:ascii="Traditional Arabic" w:eastAsia="Calibri" w:hAnsi="Traditional Arabic" w:cs="Traditional Arabic"/>
          <w:sz w:val="40"/>
          <w:szCs w:val="40"/>
          <w:rtl/>
          <w:lang w:bidi="fa-IR"/>
        </w:rPr>
        <w:t xml:space="preserve"> </w:t>
      </w:r>
      <w:r w:rsidRPr="00C406BC">
        <w:rPr>
          <w:rFonts w:ascii="Traditional Arabic" w:eastAsia="Calibri" w:hAnsi="Traditional Arabic" w:cs="Traditional Arabic"/>
          <w:sz w:val="40"/>
          <w:szCs w:val="40"/>
          <w:rtl/>
        </w:rPr>
        <w:t xml:space="preserve">ومع ذلك فقد أورد أحكاماً خاصة بالشيك ، لتحكم الجزئيات التي يختلف فيها الشيك عن الكمبيالة ضمنها المواد ( </w:t>
      </w:r>
      <w:r w:rsidRPr="00C406BC">
        <w:rPr>
          <w:rFonts w:ascii="Traditional Arabic" w:eastAsia="Calibri" w:hAnsi="Traditional Arabic" w:cs="Traditional Arabic"/>
          <w:sz w:val="40"/>
          <w:szCs w:val="40"/>
          <w:rtl/>
          <w:lang w:bidi="fa-IR"/>
        </w:rPr>
        <w:t xml:space="preserve">۹۱ - ۱۲۰) </w:t>
      </w:r>
      <w:r w:rsidRPr="00C406BC">
        <w:rPr>
          <w:rFonts w:ascii="Traditional Arabic" w:eastAsia="Calibri" w:hAnsi="Traditional Arabic" w:cs="Traditional Arabic"/>
          <w:sz w:val="40"/>
          <w:szCs w:val="40"/>
        </w:rPr>
        <w:t xml:space="preserve"> .</w:t>
      </w:r>
    </w:p>
    <w:p w14:paraId="0E072E6B" w14:textId="679E197D" w:rsidR="00286DB0" w:rsidRPr="00C406BC" w:rsidRDefault="007B0277" w:rsidP="007B0277">
      <w:pPr>
        <w:spacing w:after="240" w:line="360" w:lineRule="auto"/>
        <w:jc w:val="both"/>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t>هذا، و</w:t>
      </w:r>
      <w:r w:rsidR="00286DB0" w:rsidRPr="00C406BC">
        <w:rPr>
          <w:rFonts w:ascii="Traditional Arabic" w:eastAsia="Calibri" w:hAnsi="Traditional Arabic" w:cs="Traditional Arabic"/>
          <w:sz w:val="40"/>
          <w:szCs w:val="40"/>
          <w:rtl/>
        </w:rPr>
        <w:t>قد ذهب البعض إلى أن هذا الرأي محل نظر ، إذ لا مجال للأخذ بمظاهر الشبه بين الكمبيالة</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والشيك مع تجاهل الفوارق العديدة التي تفصل بينهما ، وبصفة خاصة في تلك </w:t>
      </w:r>
      <w:r w:rsidR="00286DB0" w:rsidRPr="00C406BC">
        <w:rPr>
          <w:rFonts w:ascii="Traditional Arabic" w:eastAsia="Calibri" w:hAnsi="Traditional Arabic" w:cs="Traditional Arabic"/>
          <w:sz w:val="40"/>
          <w:szCs w:val="40"/>
          <w:rtl/>
        </w:rPr>
        <w:lastRenderedPageBreak/>
        <w:t>القوانين التي تعدد الأوراق التجارية الخاضعة لأحكام التقادم الصرفي</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ومن بين تلك الأوراق الكمبيالة</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والشيك ، والذي يحدد اتجاه المنظم إلى اعتبار كل منها ورقة مستقلة عن الأخرى في أحكامها</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فضلاً عن أن الشيك خ</w:t>
      </w:r>
      <w:r>
        <w:rPr>
          <w:rFonts w:ascii="Traditional Arabic" w:eastAsia="Calibri" w:hAnsi="Traditional Arabic" w:cs="Traditional Arabic" w:hint="cs"/>
          <w:sz w:val="40"/>
          <w:szCs w:val="40"/>
          <w:rtl/>
        </w:rPr>
        <w:t>ال</w:t>
      </w:r>
      <w:r w:rsidR="00286DB0" w:rsidRPr="00C406BC">
        <w:rPr>
          <w:rFonts w:ascii="Traditional Arabic" w:eastAsia="Calibri" w:hAnsi="Traditional Arabic" w:cs="Traditional Arabic"/>
          <w:sz w:val="40"/>
          <w:szCs w:val="40"/>
          <w:rtl/>
        </w:rPr>
        <w:t xml:space="preserve"> في العادة من بيان وصول القيمة ، أي أنه على أحسن الفروض كمبيالة ناقصة </w:t>
      </w:r>
      <w:r w:rsidRPr="00C406BC">
        <w:rPr>
          <w:rFonts w:ascii="Traditional Arabic" w:eastAsia="Calibri" w:hAnsi="Traditional Arabic" w:cs="Traditional Arabic" w:hint="cs"/>
          <w:sz w:val="40"/>
          <w:szCs w:val="40"/>
          <w:rtl/>
        </w:rPr>
        <w:t>لا يجر</w:t>
      </w:r>
      <w:r w:rsidRPr="00C406BC">
        <w:rPr>
          <w:rFonts w:ascii="Traditional Arabic" w:eastAsia="Calibri" w:hAnsi="Traditional Arabic" w:cs="Traditional Arabic" w:hint="eastAsia"/>
          <w:sz w:val="40"/>
          <w:szCs w:val="40"/>
          <w:rtl/>
        </w:rPr>
        <w:t>ي</w:t>
      </w:r>
      <w:r w:rsidR="00286DB0" w:rsidRPr="00C406BC">
        <w:rPr>
          <w:rFonts w:ascii="Traditional Arabic" w:eastAsia="Calibri" w:hAnsi="Traditional Arabic" w:cs="Traditional Arabic"/>
          <w:sz w:val="40"/>
          <w:szCs w:val="40"/>
          <w:rtl/>
        </w:rPr>
        <w:t xml:space="preserve"> عليها حكم الكمبيالة الصحيحة، التي تعتبر عملاً تجارياً مطلقاً</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وقد ذهب رأي آخر إلى قياس الشيك على السند لأمر، فلا يعد ورقة تجارية إلا إذا كان محرراً بمناسبة عملية تجارية ، ويعتبر احتراف صاحبه للتجارة بمثابة قرينة على تجارية الشيك</w:t>
      </w:r>
      <w:r w:rsidR="00286DB0" w:rsidRPr="00C406BC">
        <w:rPr>
          <w:rFonts w:ascii="Traditional Arabic" w:eastAsia="Calibri" w:hAnsi="Traditional Arabic" w:cs="Traditional Arabic"/>
          <w:sz w:val="40"/>
          <w:szCs w:val="40"/>
        </w:rPr>
        <w:t>.</w:t>
      </w:r>
      <w:r w:rsidR="00286DB0" w:rsidRPr="00C406BC">
        <w:rPr>
          <w:rFonts w:ascii="Traditional Arabic" w:eastAsia="Calibri" w:hAnsi="Traditional Arabic" w:cs="Traditional Arabic"/>
          <w:sz w:val="40"/>
          <w:szCs w:val="40"/>
          <w:vertAlign w:val="superscript"/>
        </w:rPr>
        <w:footnoteReference w:id="52"/>
      </w:r>
    </w:p>
    <w:p w14:paraId="448C65D5" w14:textId="0CDA44A9" w:rsidR="00286DB0" w:rsidRPr="00C406BC" w:rsidRDefault="00286DB0" w:rsidP="00C406BC">
      <w:pPr>
        <w:spacing w:after="240" w:line="360" w:lineRule="auto"/>
        <w:ind w:firstLine="720"/>
        <w:jc w:val="both"/>
        <w:rPr>
          <w:rFonts w:ascii="Traditional Arabic" w:eastAsia="Calibri" w:hAnsi="Traditional Arabic" w:cs="Traditional Arabic"/>
          <w:sz w:val="40"/>
          <w:szCs w:val="40"/>
          <w:rtl/>
        </w:rPr>
      </w:pPr>
      <w:r w:rsidRPr="00C406BC">
        <w:rPr>
          <w:rFonts w:ascii="Traditional Arabic" w:eastAsia="Calibri" w:hAnsi="Traditional Arabic" w:cs="Traditional Arabic"/>
          <w:sz w:val="40"/>
          <w:szCs w:val="40"/>
          <w:rtl/>
        </w:rPr>
        <w:t xml:space="preserve">ويقوم سند هذا الرأي على أن الكمبيالة ، وقد اعتبرها المنظم السعودي </w:t>
      </w:r>
      <w:r w:rsidR="007B0277">
        <w:rPr>
          <w:rFonts w:ascii="Traditional Arabic" w:eastAsia="Calibri" w:hAnsi="Traditional Arabic" w:cs="Traditional Arabic" w:hint="cs"/>
          <w:sz w:val="40"/>
          <w:szCs w:val="40"/>
          <w:rtl/>
        </w:rPr>
        <w:t>في</w:t>
      </w:r>
      <w:r w:rsidRPr="00C406BC">
        <w:rPr>
          <w:rFonts w:ascii="Traditional Arabic" w:eastAsia="Calibri" w:hAnsi="Traditional Arabic" w:cs="Traditional Arabic"/>
          <w:sz w:val="40"/>
          <w:szCs w:val="40"/>
          <w:rtl/>
        </w:rPr>
        <w:t xml:space="preserve"> المادة الثانية من نظام المحكمة التجارية</w:t>
      </w:r>
      <w:r w:rsidR="007B0277">
        <w:rPr>
          <w:rFonts w:ascii="Traditional Arabic" w:eastAsia="Calibri" w:hAnsi="Traditional Arabic" w:cs="Traditional Arabic" w:hint="cs"/>
          <w:sz w:val="40"/>
          <w:szCs w:val="40"/>
          <w:rtl/>
        </w:rPr>
        <w:t xml:space="preserve"> </w:t>
      </w:r>
      <w:r w:rsidRPr="00C406BC">
        <w:rPr>
          <w:rFonts w:ascii="Traditional Arabic" w:eastAsia="Calibri" w:hAnsi="Traditional Arabic" w:cs="Traditional Arabic"/>
          <w:sz w:val="40"/>
          <w:szCs w:val="40"/>
          <w:rtl/>
        </w:rPr>
        <w:t>عملاً تجارياً في جميع الصور ،</w:t>
      </w:r>
      <w:r w:rsidR="00554797">
        <w:rPr>
          <w:rFonts w:ascii="Traditional Arabic" w:eastAsia="Calibri" w:hAnsi="Traditional Arabic" w:cs="Traditional Arabic" w:hint="cs"/>
          <w:sz w:val="40"/>
          <w:szCs w:val="40"/>
          <w:rtl/>
        </w:rPr>
        <w:t xml:space="preserve"> فقد</w:t>
      </w:r>
      <w:r w:rsidRPr="00C406BC">
        <w:rPr>
          <w:rFonts w:ascii="Traditional Arabic" w:eastAsia="Calibri" w:hAnsi="Traditional Arabic" w:cs="Traditional Arabic"/>
          <w:sz w:val="40"/>
          <w:szCs w:val="40"/>
          <w:rtl/>
        </w:rPr>
        <w:t xml:space="preserve"> أفرد لها أحكاماً خاصة ، لم تذكر بعض التنظيمات أدنى تشابه بينهما</w:t>
      </w:r>
      <w:r w:rsidR="00554797">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وبين غيرها</w:t>
      </w:r>
      <w:r w:rsidR="00554797">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وبالتالي </w:t>
      </w:r>
      <w:r w:rsidR="00554797" w:rsidRPr="00C406BC">
        <w:rPr>
          <w:rFonts w:ascii="Traditional Arabic" w:eastAsia="Calibri" w:hAnsi="Traditional Arabic" w:cs="Traditional Arabic" w:hint="cs"/>
          <w:sz w:val="40"/>
          <w:szCs w:val="40"/>
          <w:rtl/>
        </w:rPr>
        <w:t>لا يجو</w:t>
      </w:r>
      <w:r w:rsidR="00554797" w:rsidRPr="00C406BC">
        <w:rPr>
          <w:rFonts w:ascii="Traditional Arabic" w:eastAsia="Calibri" w:hAnsi="Traditional Arabic" w:cs="Traditional Arabic" w:hint="eastAsia"/>
          <w:sz w:val="40"/>
          <w:szCs w:val="40"/>
          <w:rtl/>
        </w:rPr>
        <w:t>ز</w:t>
      </w:r>
      <w:r w:rsidRPr="00C406BC">
        <w:rPr>
          <w:rFonts w:ascii="Traditional Arabic" w:eastAsia="Calibri" w:hAnsi="Traditional Arabic" w:cs="Traditional Arabic"/>
          <w:sz w:val="40"/>
          <w:szCs w:val="40"/>
          <w:rtl/>
        </w:rPr>
        <w:t xml:space="preserve"> القياس عليها إلا بنص ، على خلاف السند لأمر ، فقد اعتبرتها بعض القوانين التجارية ورقة تجارية متى كان إنشاؤها بمناسبة عملية تجارية ، وهذا شرط لازم بالنسبة لجميع الأوراق التجارية ، التي يراد قياسها على السند لأمر ، والشيك باعتباره ورقة تجارية لا ينبغي أن يكون كذلك إلا بالمعيار الذي وضعه النظام </w:t>
      </w:r>
      <w:r w:rsidRPr="00C406BC">
        <w:rPr>
          <w:rFonts w:ascii="Traditional Arabic" w:eastAsia="Calibri" w:hAnsi="Traditional Arabic" w:cs="Traditional Arabic"/>
          <w:sz w:val="40"/>
          <w:szCs w:val="40"/>
          <w:rtl/>
        </w:rPr>
        <w:lastRenderedPageBreak/>
        <w:t xml:space="preserve">لكافة الأوراق التجارية ، فلا يكون كذلك إلا إذا كان إنشاؤه بمناسبة عملية تجارية أما على مستوى مبدأ عدم سماع الدعوى بالنسبة للشيك وفق نظام الأوراق التجارية السعودي، فإن المدة اللازم انقضاؤها </w:t>
      </w:r>
      <w:r w:rsidR="00554797" w:rsidRPr="00C406BC">
        <w:rPr>
          <w:rFonts w:ascii="Traditional Arabic" w:eastAsia="Calibri" w:hAnsi="Traditional Arabic" w:cs="Traditional Arabic" w:hint="cs"/>
          <w:sz w:val="40"/>
          <w:szCs w:val="40"/>
          <w:rtl/>
        </w:rPr>
        <w:t>لإمكانية</w:t>
      </w:r>
      <w:r w:rsidRPr="00C406BC">
        <w:rPr>
          <w:rFonts w:ascii="Traditional Arabic" w:eastAsia="Calibri" w:hAnsi="Traditional Arabic" w:cs="Traditional Arabic"/>
          <w:sz w:val="40"/>
          <w:szCs w:val="40"/>
          <w:rtl/>
        </w:rPr>
        <w:t xml:space="preserve"> القول بعدم سماع الدعوى هي سته أشهر بالنسبة لجميع الدعاوى الخاضعة لأحكام القانون الصرفي، ولكن بدء تلك المدة يختلف تبعاً للملتزم المطالب بالوفاء وفقاً لما يلي:</w:t>
      </w:r>
      <w:r w:rsidRPr="00C406BC">
        <w:rPr>
          <w:rFonts w:ascii="Traditional Arabic" w:eastAsia="Calibri" w:hAnsi="Traditional Arabic" w:cs="Traditional Arabic"/>
          <w:sz w:val="40"/>
          <w:szCs w:val="40"/>
          <w:vertAlign w:val="superscript"/>
          <w:rtl/>
        </w:rPr>
        <w:footnoteReference w:id="53"/>
      </w:r>
    </w:p>
    <w:p w14:paraId="592B879A" w14:textId="51141C29" w:rsidR="00286DB0" w:rsidRPr="00C406BC" w:rsidRDefault="00222BE8" w:rsidP="00554797">
      <w:pPr>
        <w:spacing w:after="240" w:line="360" w:lineRule="auto"/>
        <w:contextualSpacing/>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t>أولا:</w:t>
      </w:r>
      <w:r w:rsidRPr="00C406BC">
        <w:rPr>
          <w:rFonts w:ascii="Traditional Arabic" w:eastAsia="Calibri" w:hAnsi="Traditional Arabic" w:cs="Traditional Arabic" w:hint="cs"/>
          <w:sz w:val="40"/>
          <w:szCs w:val="40"/>
          <w:rtl/>
        </w:rPr>
        <w:t xml:space="preserve"> وفق</w:t>
      </w:r>
      <w:r w:rsidRPr="00C406BC">
        <w:rPr>
          <w:rFonts w:ascii="Traditional Arabic" w:eastAsia="Calibri" w:hAnsi="Traditional Arabic" w:cs="Traditional Arabic" w:hint="eastAsia"/>
          <w:sz w:val="40"/>
          <w:szCs w:val="40"/>
          <w:rtl/>
        </w:rPr>
        <w:t>ا</w:t>
      </w:r>
      <w:r w:rsidR="00286DB0" w:rsidRPr="00C406BC">
        <w:rPr>
          <w:rFonts w:ascii="Traditional Arabic" w:eastAsia="Calibri" w:hAnsi="Traditional Arabic" w:cs="Traditional Arabic"/>
          <w:sz w:val="40"/>
          <w:szCs w:val="40"/>
          <w:rtl/>
        </w:rPr>
        <w:t xml:space="preserve"> لنص المادة (١١٦) من النظام</w:t>
      </w:r>
      <w:r w:rsidR="00554797">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فإن دعوى الحامل على المسحوب </w:t>
      </w:r>
      <w:r w:rsidR="005B5898" w:rsidRPr="00C406BC">
        <w:rPr>
          <w:rFonts w:ascii="Traditional Arabic" w:eastAsia="Calibri" w:hAnsi="Traditional Arabic" w:cs="Traditional Arabic" w:hint="cs"/>
          <w:sz w:val="40"/>
          <w:szCs w:val="40"/>
          <w:rtl/>
        </w:rPr>
        <w:t>عليه،</w:t>
      </w:r>
      <w:r w:rsidR="00286DB0" w:rsidRPr="00C406BC">
        <w:rPr>
          <w:rFonts w:ascii="Traditional Arabic" w:eastAsia="Calibri" w:hAnsi="Traditional Arabic" w:cs="Traditional Arabic"/>
          <w:sz w:val="40"/>
          <w:szCs w:val="40"/>
          <w:rtl/>
        </w:rPr>
        <w:t xml:space="preserve"> والساحب</w:t>
      </w:r>
      <w:r w:rsidR="00554797">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والمظهرين</w:t>
      </w:r>
      <w:r w:rsidR="00554797">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وغيرهم من الملتزمين لا تسمع بعد مضي ستة أشهر من تاريخ انقضاء ميعاد تقديم الشيك بالوفاء</w:t>
      </w:r>
      <w:r w:rsidR="00554797">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والحق أن هذه المادة لم تفرق بين المسحوب عليه</w:t>
      </w:r>
      <w:r w:rsidR="00554797">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والآخرين الملتزمين بوفاء الشيك ، وذلك برغم اختلاف مراكزهم القانونية ، حيث جعلت الدعوى لا تسمع ضد هم جميعاً بعد مضي ستة أشهر </w:t>
      </w:r>
    </w:p>
    <w:p w14:paraId="75FDF602" w14:textId="0B30520C" w:rsidR="00286DB0" w:rsidRPr="00C406BC" w:rsidRDefault="00554797" w:rsidP="00554797">
      <w:pPr>
        <w:spacing w:after="240" w:line="360" w:lineRule="auto"/>
        <w:contextualSpacing/>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t>ثانيا:</w:t>
      </w:r>
      <w:r w:rsidR="00286DB0" w:rsidRPr="00C406BC">
        <w:rPr>
          <w:rFonts w:ascii="Traditional Arabic" w:eastAsia="Calibri" w:hAnsi="Traditional Arabic" w:cs="Traditional Arabic"/>
          <w:sz w:val="40"/>
          <w:szCs w:val="40"/>
          <w:rtl/>
        </w:rPr>
        <w:t xml:space="preserve"> اختلاف </w:t>
      </w:r>
      <w:r w:rsidR="00222BE8">
        <w:rPr>
          <w:rFonts w:ascii="Traditional Arabic" w:eastAsia="Calibri" w:hAnsi="Traditional Arabic" w:cs="Traditional Arabic" w:hint="cs"/>
          <w:sz w:val="40"/>
          <w:szCs w:val="40"/>
          <w:rtl/>
        </w:rPr>
        <w:t>ال</w:t>
      </w:r>
      <w:r w:rsidR="00286DB0" w:rsidRPr="00C406BC">
        <w:rPr>
          <w:rFonts w:ascii="Traditional Arabic" w:eastAsia="Calibri" w:hAnsi="Traditional Arabic" w:cs="Traditional Arabic"/>
          <w:sz w:val="40"/>
          <w:szCs w:val="40"/>
          <w:rtl/>
        </w:rPr>
        <w:t>مراكز القانونية</w:t>
      </w:r>
      <w:r w:rsidR="00222BE8">
        <w:rPr>
          <w:rFonts w:ascii="Traditional Arabic" w:eastAsia="Calibri" w:hAnsi="Traditional Arabic" w:cs="Traditional Arabic" w:hint="cs"/>
          <w:sz w:val="40"/>
          <w:szCs w:val="40"/>
          <w:rtl/>
        </w:rPr>
        <w:t>، ف</w:t>
      </w:r>
      <w:r w:rsidR="00286DB0" w:rsidRPr="00C406BC">
        <w:rPr>
          <w:rFonts w:ascii="Traditional Arabic" w:eastAsia="Calibri" w:hAnsi="Traditional Arabic" w:cs="Traditional Arabic"/>
          <w:sz w:val="40"/>
          <w:szCs w:val="40"/>
          <w:rtl/>
        </w:rPr>
        <w:t>يتضح من خلال أن الموقعين على الشيك</w:t>
      </w:r>
      <w:r w:rsidR="00222BE8">
        <w:rPr>
          <w:rFonts w:ascii="Traditional Arabic" w:eastAsia="Calibri" w:hAnsi="Traditional Arabic" w:cs="Traditional Arabic" w:hint="cs"/>
          <w:sz w:val="40"/>
          <w:szCs w:val="40"/>
          <w:rtl/>
        </w:rPr>
        <w:t xml:space="preserve"> أنهم</w:t>
      </w:r>
      <w:r w:rsidR="00286DB0" w:rsidRPr="00C406BC">
        <w:rPr>
          <w:rFonts w:ascii="Traditional Arabic" w:eastAsia="Calibri" w:hAnsi="Traditional Arabic" w:cs="Traditional Arabic"/>
          <w:sz w:val="40"/>
          <w:szCs w:val="40"/>
          <w:rtl/>
        </w:rPr>
        <w:t xml:space="preserve"> يعتبرون ملتزمين صرفياً، والرجوع عليهم يكون بدعوى صرفية</w:t>
      </w:r>
      <w:r w:rsidR="00222BE8">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ذلك أن مبدأ عدم سماع الدعوى هنا </w:t>
      </w:r>
      <w:r w:rsidR="00286DB0" w:rsidRPr="00C406BC">
        <w:rPr>
          <w:rFonts w:ascii="Traditional Arabic" w:eastAsia="Calibri" w:hAnsi="Traditional Arabic" w:cs="Traditional Arabic"/>
          <w:sz w:val="40"/>
          <w:szCs w:val="40"/>
          <w:rtl/>
        </w:rPr>
        <w:lastRenderedPageBreak/>
        <w:t>مقصور على الدعاوى الصرفية، أما المسحوب عليه</w:t>
      </w:r>
      <w:r w:rsidR="00222BE8">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وهو البنك</w:t>
      </w:r>
      <w:r w:rsidR="00222BE8">
        <w:rPr>
          <w:rFonts w:ascii="Traditional Arabic" w:eastAsia="Calibri" w:hAnsi="Traditional Arabic" w:cs="Traditional Arabic" w:hint="cs"/>
          <w:sz w:val="40"/>
          <w:szCs w:val="40"/>
          <w:rtl/>
        </w:rPr>
        <w:t xml:space="preserve">، </w:t>
      </w:r>
      <w:r w:rsidR="00286DB0" w:rsidRPr="00C406BC">
        <w:rPr>
          <w:rFonts w:ascii="Traditional Arabic" w:eastAsia="Calibri" w:hAnsi="Traditional Arabic" w:cs="Traditional Arabic"/>
          <w:sz w:val="40"/>
          <w:szCs w:val="40"/>
          <w:rtl/>
        </w:rPr>
        <w:t xml:space="preserve"> فإنه لا يعتبر ملتزماً صرفياً ، فالرجوع عليه يتم بناء على دعوى مقابل الوفاء</w:t>
      </w:r>
      <w:r w:rsidR="00222BE8">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وهي دعوى ليست صرفية</w:t>
      </w:r>
      <w:r w:rsidR="00222BE8">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وبالتالي فإن النظام لم يستلزم استعمالها خلال مدة معينه</w:t>
      </w:r>
      <w:r w:rsidR="00222BE8">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w:t>
      </w:r>
      <w:r w:rsidR="00222BE8">
        <w:rPr>
          <w:rFonts w:ascii="Traditional Arabic" w:eastAsia="Calibri" w:hAnsi="Traditional Arabic" w:cs="Traditional Arabic" w:hint="cs"/>
          <w:sz w:val="40"/>
          <w:szCs w:val="40"/>
          <w:rtl/>
        </w:rPr>
        <w:t>على هذا،</w:t>
      </w:r>
      <w:r w:rsidR="00286DB0" w:rsidRPr="00C406BC">
        <w:rPr>
          <w:rFonts w:ascii="Traditional Arabic" w:eastAsia="Calibri" w:hAnsi="Traditional Arabic" w:cs="Traditional Arabic"/>
          <w:sz w:val="40"/>
          <w:szCs w:val="40"/>
          <w:rtl/>
        </w:rPr>
        <w:t xml:space="preserve"> فإنها تخضع </w:t>
      </w:r>
      <w:r w:rsidR="00222BE8" w:rsidRPr="00C406BC">
        <w:rPr>
          <w:rFonts w:ascii="Traditional Arabic" w:eastAsia="Calibri" w:hAnsi="Traditional Arabic" w:cs="Traditional Arabic" w:hint="cs"/>
          <w:sz w:val="40"/>
          <w:szCs w:val="40"/>
          <w:rtl/>
        </w:rPr>
        <w:t>للمبادئ</w:t>
      </w:r>
      <w:r w:rsidR="00286DB0" w:rsidRPr="00C406BC">
        <w:rPr>
          <w:rFonts w:ascii="Traditional Arabic" w:eastAsia="Calibri" w:hAnsi="Traditional Arabic" w:cs="Traditional Arabic"/>
          <w:sz w:val="40"/>
          <w:szCs w:val="40"/>
          <w:rtl/>
        </w:rPr>
        <w:t xml:space="preserve"> العامة للشريعة الإسلامية فيما يتعلق بمبدأ تقادم الحقوق</w:t>
      </w:r>
      <w:r w:rsidR="00222BE8">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لكن</w:t>
      </w:r>
      <w:r w:rsidR="00222BE8">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وأمام صراحة نص المادة (١١٦)</w:t>
      </w:r>
      <w:r w:rsidR="00222BE8">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فإنه </w:t>
      </w:r>
      <w:r w:rsidR="00222BE8">
        <w:rPr>
          <w:rFonts w:ascii="Traditional Arabic" w:eastAsia="Calibri" w:hAnsi="Traditional Arabic" w:cs="Traditional Arabic" w:hint="cs"/>
          <w:sz w:val="40"/>
          <w:szCs w:val="40"/>
          <w:rtl/>
        </w:rPr>
        <w:t>يظهر</w:t>
      </w:r>
      <w:r w:rsidR="00286DB0" w:rsidRPr="00C406BC">
        <w:rPr>
          <w:rFonts w:ascii="Traditional Arabic" w:eastAsia="Calibri" w:hAnsi="Traditional Arabic" w:cs="Traditional Arabic"/>
          <w:sz w:val="40"/>
          <w:szCs w:val="40"/>
          <w:rtl/>
        </w:rPr>
        <w:t xml:space="preserve"> </w:t>
      </w:r>
      <w:r w:rsidR="00222BE8">
        <w:rPr>
          <w:rFonts w:ascii="Traditional Arabic" w:eastAsia="Calibri" w:hAnsi="Traditional Arabic" w:cs="Traditional Arabic" w:hint="cs"/>
          <w:sz w:val="40"/>
          <w:szCs w:val="40"/>
          <w:rtl/>
        </w:rPr>
        <w:t>عدم</w:t>
      </w:r>
      <w:r w:rsidR="00286DB0" w:rsidRPr="00C406BC">
        <w:rPr>
          <w:rFonts w:ascii="Traditional Arabic" w:eastAsia="Calibri" w:hAnsi="Traditional Arabic" w:cs="Traditional Arabic"/>
          <w:sz w:val="40"/>
          <w:szCs w:val="40"/>
          <w:rtl/>
        </w:rPr>
        <w:t xml:space="preserve"> الأخذ بالمبدأ العام الذي تقرره الشريعة الإسلامية، وهو عدم تقادم الحقوق ، إذ لا مفر  هنا من القول بأن الرجوع على المسحوب عليه الشيك بدعوى مقابل الوفاء يخضع لمبدأ عدم سماع الدعوى المقيدة بمضي ستة أشهر من تاريخ انقضاء المدة المحددة بتقديم الشيك للوفاء</w:t>
      </w:r>
      <w:r w:rsidR="00222BE8">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بمعنى أن البنك يستطيع الدفع بعدم جواز سماع الدعوى بعد مضي ستة أشهر.</w:t>
      </w:r>
    </w:p>
    <w:p w14:paraId="2AD3AD7A" w14:textId="28F41790" w:rsidR="00286DB0" w:rsidRPr="00C406BC" w:rsidRDefault="00286DB0" w:rsidP="00222BE8">
      <w:pPr>
        <w:spacing w:after="240" w:line="360" w:lineRule="auto"/>
        <w:contextualSpacing/>
        <w:rPr>
          <w:rFonts w:ascii="Traditional Arabic" w:eastAsia="Calibri" w:hAnsi="Traditional Arabic" w:cs="Traditional Arabic"/>
          <w:sz w:val="40"/>
          <w:szCs w:val="40"/>
        </w:rPr>
      </w:pPr>
      <w:r w:rsidRPr="00C406BC">
        <w:rPr>
          <w:rFonts w:ascii="Traditional Arabic" w:eastAsia="Calibri" w:hAnsi="Traditional Arabic" w:cs="Traditional Arabic"/>
          <w:sz w:val="40"/>
          <w:szCs w:val="40"/>
          <w:rtl/>
        </w:rPr>
        <w:t xml:space="preserve"> </w:t>
      </w:r>
      <w:r w:rsidR="00222BE8">
        <w:rPr>
          <w:rFonts w:ascii="Traditional Arabic" w:eastAsia="Calibri" w:hAnsi="Traditional Arabic" w:cs="Traditional Arabic" w:hint="cs"/>
          <w:sz w:val="40"/>
          <w:szCs w:val="40"/>
          <w:rtl/>
        </w:rPr>
        <w:t>إ</w:t>
      </w:r>
      <w:r w:rsidRPr="00C406BC">
        <w:rPr>
          <w:rFonts w:ascii="Traditional Arabic" w:eastAsia="Calibri" w:hAnsi="Traditional Arabic" w:cs="Traditional Arabic"/>
          <w:sz w:val="40"/>
          <w:szCs w:val="40"/>
          <w:rtl/>
        </w:rPr>
        <w:t>ن المادة (١١٦) جاءت عامة لم تفرق بين ملتزم</w:t>
      </w:r>
      <w:r w:rsidR="00222BE8">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وأخر</w:t>
      </w:r>
      <w:r w:rsidR="00222BE8">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حيث نصت على أن دعوى الحامل ضد المسحوب عليه</w:t>
      </w:r>
      <w:r w:rsidR="00222BE8">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والساحب</w:t>
      </w:r>
      <w:r w:rsidR="00222BE8">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والمظهرين </w:t>
      </w:r>
      <w:r w:rsidR="00222BE8" w:rsidRPr="00C406BC">
        <w:rPr>
          <w:rFonts w:ascii="Traditional Arabic" w:eastAsia="Calibri" w:hAnsi="Traditional Arabic" w:cs="Traditional Arabic" w:hint="cs"/>
          <w:sz w:val="40"/>
          <w:szCs w:val="40"/>
          <w:rtl/>
        </w:rPr>
        <w:t>لا تسم</w:t>
      </w:r>
      <w:r w:rsidR="00222BE8" w:rsidRPr="00C406BC">
        <w:rPr>
          <w:rFonts w:ascii="Traditional Arabic" w:eastAsia="Calibri" w:hAnsi="Traditional Arabic" w:cs="Traditional Arabic" w:hint="eastAsia"/>
          <w:sz w:val="40"/>
          <w:szCs w:val="40"/>
          <w:rtl/>
        </w:rPr>
        <w:t>ع</w:t>
      </w:r>
      <w:r w:rsidRPr="00C406BC">
        <w:rPr>
          <w:rFonts w:ascii="Traditional Arabic" w:eastAsia="Calibri" w:hAnsi="Traditional Arabic" w:cs="Traditional Arabic"/>
          <w:sz w:val="40"/>
          <w:szCs w:val="40"/>
          <w:rtl/>
        </w:rPr>
        <w:t xml:space="preserve"> بعد مضي ستة </w:t>
      </w:r>
      <w:r w:rsidR="005B5898" w:rsidRPr="00C406BC">
        <w:rPr>
          <w:rFonts w:ascii="Traditional Arabic" w:eastAsia="Calibri" w:hAnsi="Traditional Arabic" w:cs="Traditional Arabic" w:hint="cs"/>
          <w:sz w:val="40"/>
          <w:szCs w:val="40"/>
          <w:rtl/>
        </w:rPr>
        <w:t>أشهر،</w:t>
      </w:r>
      <w:r w:rsidRPr="00C406BC">
        <w:rPr>
          <w:rFonts w:ascii="Traditional Arabic" w:eastAsia="Calibri" w:hAnsi="Traditional Arabic" w:cs="Traditional Arabic"/>
          <w:sz w:val="40"/>
          <w:szCs w:val="40"/>
          <w:rtl/>
        </w:rPr>
        <w:t xml:space="preserve"> كما أن هذه المادة لم تفرق بين الساحب الذي قدم مقابل الوفاء</w:t>
      </w:r>
      <w:r w:rsidR="00222BE8">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والساحب الذي لم يقدمه ، أو الذي قدمه</w:t>
      </w:r>
      <w:r w:rsidR="00222BE8">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ثم قام باسترداده</w:t>
      </w:r>
      <w:r w:rsidR="00222BE8">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سواء في ذلك أن يقوم باسترداده بعد انقضاء مدة التقديم للوفاء ، أو قبل ذلك ، وبالتالي</w:t>
      </w:r>
      <w:r w:rsidR="002D48B5">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فإن الساحب حتى في هاتين الحالتين الأخيرتين  يستطيع صد دعوى الحامل إذا أتت بعد للوفاء</w:t>
      </w:r>
      <w:r w:rsidRPr="00C406BC">
        <w:rPr>
          <w:rFonts w:ascii="Traditional Arabic" w:eastAsia="Calibri" w:hAnsi="Traditional Arabic" w:cs="Traditional Arabic"/>
          <w:sz w:val="40"/>
          <w:szCs w:val="40"/>
          <w:rtl/>
          <w:lang w:bidi="fa-IR"/>
        </w:rPr>
        <w:t xml:space="preserve"> </w:t>
      </w:r>
      <w:r w:rsidRPr="00C406BC">
        <w:rPr>
          <w:rFonts w:ascii="Traditional Arabic" w:eastAsia="Calibri" w:hAnsi="Traditional Arabic" w:cs="Traditional Arabic"/>
          <w:sz w:val="40"/>
          <w:szCs w:val="40"/>
          <w:rtl/>
        </w:rPr>
        <w:t>انقضاء مدة ستة أشهر من تاريخ التقديم</w:t>
      </w:r>
      <w:r w:rsidR="002D48B5">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w:t>
      </w:r>
    </w:p>
    <w:p w14:paraId="15B2F9D0" w14:textId="18924E74" w:rsidR="00286DB0" w:rsidRPr="00C406BC" w:rsidRDefault="00286DB0" w:rsidP="002D48B5">
      <w:pPr>
        <w:spacing w:after="240" w:line="360" w:lineRule="auto"/>
        <w:contextualSpacing/>
        <w:rPr>
          <w:rFonts w:ascii="Traditional Arabic" w:eastAsia="Calibri" w:hAnsi="Traditional Arabic" w:cs="Traditional Arabic"/>
          <w:sz w:val="40"/>
          <w:szCs w:val="40"/>
        </w:rPr>
      </w:pPr>
      <w:r w:rsidRPr="00C406BC">
        <w:rPr>
          <w:rFonts w:ascii="Traditional Arabic" w:eastAsia="Calibri" w:hAnsi="Traditional Arabic" w:cs="Traditional Arabic"/>
          <w:sz w:val="40"/>
          <w:szCs w:val="40"/>
          <w:rtl/>
        </w:rPr>
        <w:lastRenderedPageBreak/>
        <w:t>وعلى الرأي القائل</w:t>
      </w:r>
      <w:r w:rsidR="002D48B5">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w:t>
      </w:r>
      <w:r w:rsidR="002D48B5">
        <w:rPr>
          <w:rFonts w:ascii="Traditional Arabic" w:eastAsia="Calibri" w:hAnsi="Traditional Arabic" w:cs="Traditional Arabic" w:hint="cs"/>
          <w:sz w:val="40"/>
          <w:szCs w:val="40"/>
          <w:rtl/>
        </w:rPr>
        <w:t>ف</w:t>
      </w:r>
      <w:r w:rsidRPr="00C406BC">
        <w:rPr>
          <w:rFonts w:ascii="Traditional Arabic" w:eastAsia="Calibri" w:hAnsi="Traditional Arabic" w:cs="Traditional Arabic"/>
          <w:sz w:val="40"/>
          <w:szCs w:val="40"/>
          <w:rtl/>
        </w:rPr>
        <w:t>إن إصدار الشيك</w:t>
      </w:r>
      <w:r w:rsidR="002D48B5">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أو تظهيره لا يترتب عليه تجديد الالتزام الأصلي القائم بين طرفي العلاقة قبل إصدار الشيك</w:t>
      </w:r>
      <w:r w:rsidR="002D48B5">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أو </w:t>
      </w:r>
      <w:r w:rsidR="005B5898" w:rsidRPr="00C406BC">
        <w:rPr>
          <w:rFonts w:ascii="Traditional Arabic" w:eastAsia="Calibri" w:hAnsi="Traditional Arabic" w:cs="Traditional Arabic" w:hint="cs"/>
          <w:sz w:val="40"/>
          <w:szCs w:val="40"/>
          <w:rtl/>
        </w:rPr>
        <w:t>تظهيره،</w:t>
      </w:r>
      <w:r w:rsidRPr="00C406BC">
        <w:rPr>
          <w:rFonts w:ascii="Traditional Arabic" w:eastAsia="Calibri" w:hAnsi="Traditional Arabic" w:cs="Traditional Arabic"/>
          <w:sz w:val="40"/>
          <w:szCs w:val="40"/>
          <w:rtl/>
        </w:rPr>
        <w:t xml:space="preserve"> مما يترتب عليه انقضاء الدين الأصلي</w:t>
      </w:r>
      <w:r w:rsidR="002D48B5">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وقيام دين جديد أساسه العلاقة الجديدة ، فإن قاعدة عدم سماع الدعوى </w:t>
      </w:r>
      <w:r w:rsidR="002D48B5" w:rsidRPr="00C406BC">
        <w:rPr>
          <w:rFonts w:ascii="Traditional Arabic" w:eastAsia="Calibri" w:hAnsi="Traditional Arabic" w:cs="Traditional Arabic" w:hint="cs"/>
          <w:sz w:val="40"/>
          <w:szCs w:val="40"/>
          <w:rtl/>
        </w:rPr>
        <w:t>لا تحو</w:t>
      </w:r>
      <w:r w:rsidR="002D48B5" w:rsidRPr="00C406BC">
        <w:rPr>
          <w:rFonts w:ascii="Traditional Arabic" w:eastAsia="Calibri" w:hAnsi="Traditional Arabic" w:cs="Traditional Arabic" w:hint="eastAsia"/>
          <w:sz w:val="40"/>
          <w:szCs w:val="40"/>
          <w:rtl/>
        </w:rPr>
        <w:t>ل</w:t>
      </w:r>
      <w:r w:rsidRPr="00C406BC">
        <w:rPr>
          <w:rFonts w:ascii="Traditional Arabic" w:eastAsia="Calibri" w:hAnsi="Traditional Arabic" w:cs="Traditional Arabic"/>
          <w:sz w:val="40"/>
          <w:szCs w:val="40"/>
          <w:rtl/>
        </w:rPr>
        <w:t xml:space="preserve"> دون الرجوع المستمد من العلاقة الأساسية ، بل إن هذا الالتزام باق، ويمكن إقامة دعوى الحامل بعد الانقضاء </w:t>
      </w:r>
      <w:r w:rsidRPr="00C406BC">
        <w:rPr>
          <w:rFonts w:ascii="Traditional Arabic" w:eastAsia="Calibri" w:hAnsi="Traditional Arabic" w:cs="Traditional Arabic"/>
          <w:sz w:val="40"/>
          <w:szCs w:val="40"/>
        </w:rPr>
        <w:t xml:space="preserve"> .</w:t>
      </w:r>
    </w:p>
    <w:p w14:paraId="0E2667E6" w14:textId="707991F8" w:rsidR="00286DB0" w:rsidRPr="00C406BC" w:rsidRDefault="002D48B5" w:rsidP="00C406BC">
      <w:pPr>
        <w:spacing w:after="240" w:line="360" w:lineRule="auto"/>
        <w:ind w:firstLine="720"/>
        <w:jc w:val="both"/>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t>إن</w:t>
      </w:r>
      <w:r w:rsidR="00286DB0" w:rsidRPr="00C406BC">
        <w:rPr>
          <w:rFonts w:ascii="Traditional Arabic" w:eastAsia="Calibri" w:hAnsi="Traditional Arabic" w:cs="Traditional Arabic"/>
          <w:sz w:val="40"/>
          <w:szCs w:val="40"/>
          <w:rtl/>
        </w:rPr>
        <w:t xml:space="preserve"> البنك </w:t>
      </w:r>
      <w:r>
        <w:rPr>
          <w:rFonts w:ascii="Traditional Arabic" w:eastAsia="Calibri" w:hAnsi="Traditional Arabic" w:cs="Traditional Arabic" w:hint="cs"/>
          <w:sz w:val="40"/>
          <w:szCs w:val="40"/>
          <w:rtl/>
        </w:rPr>
        <w:t>بوصفه مسحبا</w:t>
      </w:r>
      <w:r w:rsidR="00286DB0" w:rsidRPr="00C406BC">
        <w:rPr>
          <w:rFonts w:ascii="Traditional Arabic" w:eastAsia="Calibri" w:hAnsi="Traditional Arabic" w:cs="Traditional Arabic"/>
          <w:sz w:val="40"/>
          <w:szCs w:val="40"/>
          <w:rtl/>
        </w:rPr>
        <w:t xml:space="preserve"> على الشيك</w:t>
      </w:r>
      <w:r>
        <w:rPr>
          <w:rFonts w:ascii="Traditional Arabic" w:eastAsia="Calibri" w:hAnsi="Traditional Arabic" w:cs="Traditional Arabic" w:hint="cs"/>
          <w:sz w:val="40"/>
          <w:szCs w:val="40"/>
          <w:rtl/>
        </w:rPr>
        <w:t>، فإنه</w:t>
      </w:r>
      <w:r w:rsidR="00286DB0" w:rsidRPr="00C406BC">
        <w:rPr>
          <w:rFonts w:ascii="Traditional Arabic" w:eastAsia="Calibri" w:hAnsi="Traditional Arabic" w:cs="Traditional Arabic"/>
          <w:sz w:val="40"/>
          <w:szCs w:val="40"/>
          <w:rtl/>
        </w:rPr>
        <w:t xml:space="preserve"> لا يعتبر ملتزماً صرفياً، </w:t>
      </w:r>
      <w:r>
        <w:rPr>
          <w:rFonts w:ascii="Traditional Arabic" w:eastAsia="Calibri" w:hAnsi="Traditional Arabic" w:cs="Traditional Arabic" w:hint="cs"/>
          <w:sz w:val="40"/>
          <w:szCs w:val="40"/>
          <w:rtl/>
        </w:rPr>
        <w:t>بمعنى</w:t>
      </w:r>
      <w:r w:rsidR="00286DB0" w:rsidRPr="00C406BC">
        <w:rPr>
          <w:rFonts w:ascii="Traditional Arabic" w:eastAsia="Calibri" w:hAnsi="Traditional Arabic" w:cs="Traditional Arabic"/>
          <w:sz w:val="40"/>
          <w:szCs w:val="40"/>
          <w:rtl/>
        </w:rPr>
        <w:t xml:space="preserve"> أنه لا يخضع لحكم عدم سماع الدعوى الخاص </w:t>
      </w:r>
      <w:r w:rsidR="0052573A" w:rsidRPr="00C406BC">
        <w:rPr>
          <w:rFonts w:ascii="Traditional Arabic" w:eastAsia="Calibri" w:hAnsi="Traditional Arabic" w:cs="Traditional Arabic" w:hint="cs"/>
          <w:sz w:val="40"/>
          <w:szCs w:val="40"/>
          <w:rtl/>
        </w:rPr>
        <w:t>بالشيك،</w:t>
      </w:r>
      <w:r w:rsidR="00286DB0" w:rsidRPr="00C406BC">
        <w:rPr>
          <w:rFonts w:ascii="Traditional Arabic" w:eastAsia="Calibri" w:hAnsi="Traditional Arabic" w:cs="Traditional Arabic"/>
          <w:sz w:val="40"/>
          <w:szCs w:val="40"/>
          <w:rtl/>
        </w:rPr>
        <w:t xml:space="preserve"> وبالتالي</w:t>
      </w:r>
      <w:r>
        <w:rPr>
          <w:rFonts w:ascii="Traditional Arabic" w:eastAsia="Calibri" w:hAnsi="Traditional Arabic" w:cs="Traditional Arabic" w:hint="cs"/>
          <w:sz w:val="40"/>
          <w:szCs w:val="40"/>
          <w:rtl/>
        </w:rPr>
        <w:t>، فإنه</w:t>
      </w:r>
      <w:r w:rsidR="00286DB0" w:rsidRPr="00C406BC">
        <w:rPr>
          <w:rFonts w:ascii="Traditional Arabic" w:eastAsia="Calibri" w:hAnsi="Traditional Arabic" w:cs="Traditional Arabic"/>
          <w:sz w:val="40"/>
          <w:szCs w:val="40"/>
          <w:rtl/>
        </w:rPr>
        <w:t xml:space="preserve"> يمكن لحامل الشيك</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الدعوى لا سماعها بعد مضي ستة أشهر من تاريخ انقضاء الميعاد المحدد لتقديم الشيك للوفاء، وبالتالي فإن البنك المسحب لا يمكنه دفع الشيك بعد انقضاء ستة أشهر من تاريخ التقديم إذا كان ذلك الدفع يصاحبه طلب الحامل دفع الشيك، وذلك لأن حكم الدفع يعتمد على قبول الدفع</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ولكنه لا </w:t>
      </w:r>
      <w:r w:rsidR="005B5898" w:rsidRPr="00C406BC">
        <w:rPr>
          <w:rFonts w:ascii="Traditional Arabic" w:eastAsia="Calibri" w:hAnsi="Traditional Arabic" w:cs="Traditional Arabic" w:hint="cs"/>
          <w:sz w:val="40"/>
          <w:szCs w:val="40"/>
          <w:rtl/>
        </w:rPr>
        <w:t>يقوم دون</w:t>
      </w:r>
      <w:r w:rsidR="00286DB0" w:rsidRPr="00C406BC">
        <w:rPr>
          <w:rFonts w:ascii="Traditional Arabic" w:eastAsia="Calibri" w:hAnsi="Traditional Arabic" w:cs="Traditional Arabic"/>
          <w:sz w:val="40"/>
          <w:szCs w:val="40"/>
          <w:rtl/>
        </w:rPr>
        <w:t xml:space="preserve"> مبرر  بمفاد الاعتراض على الدعوى وتركها مسددة </w:t>
      </w:r>
      <w:r w:rsidR="00286DB0" w:rsidRPr="00C406BC">
        <w:rPr>
          <w:rFonts w:ascii="Traditional Arabic" w:eastAsia="Calibri" w:hAnsi="Traditional Arabic" w:cs="Traditional Arabic"/>
          <w:sz w:val="40"/>
          <w:szCs w:val="40"/>
        </w:rPr>
        <w:t xml:space="preserve"> .</w:t>
      </w:r>
      <w:r w:rsidR="00286DB0" w:rsidRPr="00C406BC">
        <w:rPr>
          <w:rFonts w:ascii="Traditional Arabic" w:eastAsia="Calibri" w:hAnsi="Traditional Arabic" w:cs="Traditional Arabic"/>
          <w:sz w:val="40"/>
          <w:szCs w:val="40"/>
          <w:vertAlign w:val="superscript"/>
        </w:rPr>
        <w:footnoteReference w:id="54"/>
      </w:r>
    </w:p>
    <w:p w14:paraId="34D1B5AE" w14:textId="6089AC86" w:rsidR="00286DB0" w:rsidRPr="00C406BC" w:rsidRDefault="00286DB0" w:rsidP="004D2CA0">
      <w:pPr>
        <w:spacing w:after="240" w:line="360" w:lineRule="auto"/>
        <w:ind w:firstLine="720"/>
        <w:jc w:val="both"/>
        <w:rPr>
          <w:rFonts w:ascii="Traditional Arabic" w:eastAsia="Calibri" w:hAnsi="Traditional Arabic" w:cs="Traditional Arabic"/>
          <w:sz w:val="40"/>
          <w:szCs w:val="40"/>
        </w:rPr>
      </w:pPr>
      <w:r w:rsidRPr="00C406BC">
        <w:rPr>
          <w:rFonts w:ascii="Traditional Arabic" w:eastAsia="Calibri" w:hAnsi="Traditional Arabic" w:cs="Traditional Arabic"/>
          <w:sz w:val="40"/>
          <w:szCs w:val="40"/>
          <w:rtl/>
        </w:rPr>
        <w:lastRenderedPageBreak/>
        <w:t>أما فيما يتعلق بمسألة محاكمة المحكوم عليه بدفع شيك ، فيمكن التمييز بين الدعوى التي تسقط عنها الدعوى بمضي ستة أشهر</w:t>
      </w:r>
      <w:r w:rsidR="002D48B5">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وبين الدعوى التي لم يتم الدفع فيها</w:t>
      </w:r>
      <w:r w:rsidR="002D48B5">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وما زالت الحاجة إلى المحاكمة ، إذ أن القانون لم ينص في المادة ( ١١٦ ) على سقوط الدعوى</w:t>
      </w:r>
      <w:r w:rsidR="002D48B5">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ولكنها فقط لم تسمع بعد مضي الفترة المقررة ، ولكن في حالة محاكمة المحكوم عليه يجب الحكم بالقضية بأن يقبض الدائن المبلغ المستحق من المحكوم عليه في حال الحكم ضده في جلسة أخرى مباشرة عند إصدار الحكم ، فالشيك يستند على المعاملة التجارية بين الطرفين، وبالتالي</w:t>
      </w:r>
      <w:r w:rsidR="002D48B5">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فإن الطرف المستفيد من الشيك لديه حق في الحصول على المبلغ الذي يمثل قيمة الشيك عندما يكون الحكم لصالحه</w:t>
      </w:r>
      <w:r w:rsidR="004D2CA0">
        <w:rPr>
          <w:rFonts w:ascii="Traditional Arabic" w:eastAsia="Calibri" w:hAnsi="Traditional Arabic" w:cs="Traditional Arabic" w:hint="cs"/>
          <w:sz w:val="40"/>
          <w:szCs w:val="40"/>
          <w:rtl/>
        </w:rPr>
        <w:t>، و</w:t>
      </w:r>
      <w:r w:rsidRPr="00C406BC">
        <w:rPr>
          <w:rFonts w:ascii="Traditional Arabic" w:eastAsia="Calibri" w:hAnsi="Traditional Arabic" w:cs="Traditional Arabic"/>
          <w:sz w:val="40"/>
          <w:szCs w:val="40"/>
          <w:rtl/>
        </w:rPr>
        <w:t>بالرغم من أن محكمة التقادم صرفياً هي المختصة بالدعاوى الصرفية التي يكون الشيك فيها المبنى الذي يقوم عليه الحكم بتحديد مدة لا سماع الدعوى بحسب المادة (١١٦) من نظام الأوراق التجارية السعودي</w:t>
      </w:r>
      <w:r w:rsidR="004D2CA0">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إلا أنها مع ذلك يمكن أن تختلف في الدعاوى الصرفية عن الشيك</w:t>
      </w:r>
      <w:r w:rsidR="004D2CA0">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فيجوز سماع دعوى الحامل بعد مضي الفترة المحددة من تاريخ انقضاء الميعاد، وذلك في حالة اكتشاف أن الشيك قد حصل بتزوير</w:t>
      </w:r>
      <w:r w:rsidR="004D2CA0">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أو استيلاء ، وهو ما طبقه قرار الدائرة الثالثة بمحكمة التقادم صرفياً بالرياض في القضية رقم </w:t>
      </w:r>
      <w:r w:rsidRPr="00C406BC">
        <w:rPr>
          <w:rFonts w:ascii="Traditional Arabic" w:eastAsia="Calibri" w:hAnsi="Traditional Arabic" w:cs="Traditional Arabic"/>
          <w:sz w:val="40"/>
          <w:szCs w:val="40"/>
          <w:rtl/>
          <w:lang w:bidi="fa-IR"/>
        </w:rPr>
        <w:t>۲/</w:t>
      </w:r>
      <w:r w:rsidRPr="00C406BC">
        <w:rPr>
          <w:rFonts w:ascii="Traditional Arabic" w:eastAsia="Calibri" w:hAnsi="Traditional Arabic" w:cs="Traditional Arabic"/>
          <w:sz w:val="40"/>
          <w:szCs w:val="40"/>
          <w:rtl/>
        </w:rPr>
        <w:t xml:space="preserve">٤٩/خ بتاريخ </w:t>
      </w:r>
      <w:r w:rsidRPr="00C406BC">
        <w:rPr>
          <w:rFonts w:ascii="Traditional Arabic" w:eastAsia="Calibri" w:hAnsi="Traditional Arabic" w:cs="Traditional Arabic"/>
          <w:sz w:val="40"/>
          <w:szCs w:val="40"/>
          <w:rtl/>
          <w:lang w:bidi="fa-IR"/>
        </w:rPr>
        <w:t>۱۳/</w:t>
      </w:r>
      <w:r w:rsidRPr="00C406BC">
        <w:rPr>
          <w:rFonts w:ascii="Traditional Arabic" w:eastAsia="Calibri" w:hAnsi="Traditional Arabic" w:cs="Traditional Arabic"/>
          <w:sz w:val="40"/>
          <w:szCs w:val="40"/>
          <w:rtl/>
        </w:rPr>
        <w:t>١/</w:t>
      </w:r>
      <w:r w:rsidRPr="00C406BC">
        <w:rPr>
          <w:rFonts w:ascii="Traditional Arabic" w:eastAsia="Calibri" w:hAnsi="Traditional Arabic" w:cs="Traditional Arabic"/>
          <w:sz w:val="40"/>
          <w:szCs w:val="40"/>
          <w:rtl/>
          <w:lang w:bidi="fa-IR"/>
        </w:rPr>
        <w:t>۱۴۱۳</w:t>
      </w:r>
      <w:r w:rsidRPr="00C406BC">
        <w:rPr>
          <w:rFonts w:ascii="Traditional Arabic" w:eastAsia="Calibri" w:hAnsi="Traditional Arabic" w:cs="Traditional Arabic"/>
          <w:sz w:val="40"/>
          <w:szCs w:val="40"/>
          <w:rtl/>
        </w:rPr>
        <w:t xml:space="preserve">هـ القاضي بعدم سماع دعوى الشيك بعد مرور فترة ستة أشهر من تاريخ انقضاء الميعاد بالرغم من النص المبين في المادة </w:t>
      </w:r>
      <w:r w:rsidRPr="00C406BC">
        <w:rPr>
          <w:rFonts w:ascii="Traditional Arabic" w:eastAsia="Calibri" w:hAnsi="Traditional Arabic" w:cs="Traditional Arabic"/>
          <w:sz w:val="40"/>
          <w:szCs w:val="40"/>
          <w:rtl/>
        </w:rPr>
        <w:lastRenderedPageBreak/>
        <w:t>( ١١٦ )</w:t>
      </w:r>
      <w:r w:rsidR="004D2CA0">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ولا شك أن هذا الحكم أفاد الدائن</w:t>
      </w:r>
      <w:r w:rsidR="004D2CA0">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وأنه يجوز للمحكمة البت في الدعوى حتى بعد مرور فترة ستة أشهر من تاريخ انقضاء الميعاد الذي يقيم بموجبه الحامل دعواه</w:t>
      </w:r>
      <w:r w:rsidR="004D2CA0">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مع العلم بأن هذ</w:t>
      </w:r>
      <w:r w:rsidR="004D2CA0">
        <w:rPr>
          <w:rFonts w:ascii="Traditional Arabic" w:eastAsia="Calibri" w:hAnsi="Traditional Arabic" w:cs="Traditional Arabic" w:hint="cs"/>
          <w:sz w:val="40"/>
          <w:szCs w:val="40"/>
          <w:rtl/>
        </w:rPr>
        <w:t>ا</w:t>
      </w:r>
      <w:r w:rsidRPr="00C406BC">
        <w:rPr>
          <w:rFonts w:ascii="Traditional Arabic" w:eastAsia="Calibri" w:hAnsi="Traditional Arabic" w:cs="Traditional Arabic"/>
          <w:sz w:val="40"/>
          <w:szCs w:val="40"/>
          <w:rtl/>
        </w:rPr>
        <w:t xml:space="preserve"> الميعاد محدد بالمادة ( ١١٦)</w:t>
      </w:r>
      <w:r w:rsidR="004D2CA0">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لكن ما دام المقصود من إقامة الميعاد المحددة هو الوقت الكافي للدائن لمتابعة دعواه</w:t>
      </w:r>
      <w:r w:rsidR="004D2CA0">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فإن المحكمة لا يجوز النظر فيها إلا بعد انقضاء هذه المدة الكافية، ولا نجد لهذا الحكم أثر</w:t>
      </w:r>
      <w:r w:rsidR="004D2CA0">
        <w:rPr>
          <w:rFonts w:ascii="Traditional Arabic" w:eastAsia="Calibri" w:hAnsi="Traditional Arabic" w:cs="Traditional Arabic" w:hint="cs"/>
          <w:sz w:val="40"/>
          <w:szCs w:val="40"/>
          <w:rtl/>
        </w:rPr>
        <w:t>ا</w:t>
      </w:r>
      <w:r w:rsidRPr="00C406BC">
        <w:rPr>
          <w:rFonts w:ascii="Traditional Arabic" w:eastAsia="Calibri" w:hAnsi="Traditional Arabic" w:cs="Traditional Arabic"/>
          <w:sz w:val="40"/>
          <w:szCs w:val="40"/>
          <w:rtl/>
        </w:rPr>
        <w:t xml:space="preserve"> سلبي</w:t>
      </w:r>
      <w:r w:rsidR="004D2CA0">
        <w:rPr>
          <w:rFonts w:ascii="Traditional Arabic" w:eastAsia="Calibri" w:hAnsi="Traditional Arabic" w:cs="Traditional Arabic" w:hint="cs"/>
          <w:sz w:val="40"/>
          <w:szCs w:val="40"/>
          <w:rtl/>
        </w:rPr>
        <w:t>ا</w:t>
      </w:r>
      <w:r w:rsidRPr="00C406BC">
        <w:rPr>
          <w:rFonts w:ascii="Traditional Arabic" w:eastAsia="Calibri" w:hAnsi="Traditional Arabic" w:cs="Traditional Arabic"/>
          <w:sz w:val="40"/>
          <w:szCs w:val="40"/>
          <w:rtl/>
        </w:rPr>
        <w:t xml:space="preserve"> في حق المدين</w:t>
      </w:r>
      <w:r w:rsidR="004D2CA0">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لأنه في الواقع قد كان معتبراً للفترة اللازمة للمطالبة بالدعوى</w:t>
      </w:r>
      <w:r w:rsidR="004D2CA0">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وهو ما جاء به المشرع من تعيين الميعاد ، وعليه</w:t>
      </w:r>
      <w:r w:rsidR="004D2CA0">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فإنه إذا كان الشيك قد تم تزويره</w:t>
      </w:r>
      <w:r w:rsidR="004D2CA0">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أو الاستيلاء عليه</w:t>
      </w:r>
      <w:r w:rsidR="004D2CA0">
        <w:rPr>
          <w:rFonts w:ascii="Traditional Arabic" w:eastAsia="Calibri" w:hAnsi="Traditional Arabic" w:cs="Traditional Arabic" w:hint="cs"/>
          <w:sz w:val="40"/>
          <w:szCs w:val="40"/>
          <w:rtl/>
        </w:rPr>
        <w:t>، فإنه</w:t>
      </w:r>
      <w:r w:rsidRPr="00C406BC">
        <w:rPr>
          <w:rFonts w:ascii="Traditional Arabic" w:eastAsia="Calibri" w:hAnsi="Traditional Arabic" w:cs="Traditional Arabic"/>
          <w:sz w:val="40"/>
          <w:szCs w:val="40"/>
          <w:rtl/>
        </w:rPr>
        <w:t xml:space="preserve"> لا يجوز النظر في دعوى الحامل بعد انقضاء الفترة المحددة بالمادة (١١٦)</w:t>
      </w:r>
      <w:r w:rsidR="004D2CA0">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لأن الشيك لم يعد ساري المفعول</w:t>
      </w:r>
      <w:r w:rsidR="004D2CA0">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w:t>
      </w:r>
      <w:r w:rsidRPr="00C406BC">
        <w:rPr>
          <w:rFonts w:ascii="Traditional Arabic" w:eastAsia="Calibri" w:hAnsi="Traditional Arabic" w:cs="Traditional Arabic"/>
          <w:sz w:val="40"/>
          <w:szCs w:val="40"/>
        </w:rPr>
        <w:t xml:space="preserve"> </w:t>
      </w:r>
      <w:r w:rsidRPr="00C406BC">
        <w:rPr>
          <w:rFonts w:ascii="Traditional Arabic" w:eastAsia="Calibri" w:hAnsi="Traditional Arabic" w:cs="Traditional Arabic"/>
          <w:sz w:val="40"/>
          <w:szCs w:val="40"/>
          <w:vertAlign w:val="superscript"/>
        </w:rPr>
        <w:footnoteReference w:id="55"/>
      </w:r>
      <w:r w:rsidRPr="00C406BC">
        <w:rPr>
          <w:rFonts w:ascii="Traditional Arabic" w:eastAsia="Calibri" w:hAnsi="Traditional Arabic" w:cs="Traditional Arabic"/>
          <w:sz w:val="40"/>
          <w:szCs w:val="40"/>
          <w:rtl/>
        </w:rPr>
        <w:t>وبالمقابل</w:t>
      </w:r>
      <w:r w:rsidR="004D2CA0">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فإن الدعوى المرفوعة ضد المحكوم عليه لتحصيل مبلغ الشيك الصادر في حقه يعتبر مدعى فيها أحد </w:t>
      </w:r>
      <w:r w:rsidR="004D2CA0" w:rsidRPr="00C406BC">
        <w:rPr>
          <w:rFonts w:ascii="Traditional Arabic" w:eastAsia="Calibri" w:hAnsi="Traditional Arabic" w:cs="Traditional Arabic" w:hint="cs"/>
          <w:sz w:val="40"/>
          <w:szCs w:val="40"/>
          <w:rtl/>
        </w:rPr>
        <w:t>المبادئ</w:t>
      </w:r>
      <w:r w:rsidRPr="00C406BC">
        <w:rPr>
          <w:rFonts w:ascii="Traditional Arabic" w:eastAsia="Calibri" w:hAnsi="Traditional Arabic" w:cs="Traditional Arabic"/>
          <w:sz w:val="40"/>
          <w:szCs w:val="40"/>
          <w:rtl/>
        </w:rPr>
        <w:t xml:space="preserve"> الأساسية المنصوص عليها في النظام بأنه إذا لم يتم الدفع بموجب الشيك في الميعاد المحدد فيه للدفع</w:t>
      </w:r>
      <w:r w:rsidR="004D2CA0">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وبمضي فترة ستة أشهر منه</w:t>
      </w:r>
      <w:r w:rsidR="004D2CA0">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فإنه يكون حق المدين محصوراً فيه إلى أن يقدم الشيك للدفع</w:t>
      </w:r>
      <w:r w:rsidR="004D2CA0">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وعليه إذا لم يستطع المدين دفع المبلغ المستحق بالشيك بعد مرور هذه الفترة</w:t>
      </w:r>
      <w:r w:rsidR="004D2CA0">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فإنه يجب عليه تقديم الشيك للدفع بمجرد مطالبته بها</w:t>
      </w:r>
      <w:r w:rsidR="004D2CA0">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مع العلم بأن الشيك لم يعد صالحاً للتداول</w:t>
      </w:r>
      <w:r w:rsidR="004D2CA0">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ولا يعتبر محلاً للتداول بعد مرور الفترة المحددة للدفع</w:t>
      </w:r>
      <w:r w:rsidR="004D2CA0">
        <w:rPr>
          <w:rFonts w:ascii="Traditional Arabic" w:eastAsia="Calibri" w:hAnsi="Traditional Arabic" w:cs="Traditional Arabic" w:hint="cs"/>
          <w:sz w:val="40"/>
          <w:szCs w:val="40"/>
          <w:rtl/>
        </w:rPr>
        <w:t xml:space="preserve"> </w:t>
      </w:r>
      <w:r w:rsidRPr="00C406BC">
        <w:rPr>
          <w:rFonts w:ascii="Traditional Arabic" w:eastAsia="Calibri" w:hAnsi="Traditional Arabic" w:cs="Traditional Arabic"/>
          <w:sz w:val="40"/>
          <w:szCs w:val="40"/>
          <w:rtl/>
        </w:rPr>
        <w:lastRenderedPageBreak/>
        <w:t>بمرور ستة أشهر من تاريخ الدفع المحدد بالشيك</w:t>
      </w:r>
      <w:r w:rsidR="004D2CA0">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لأنه إذا ما أقر عليه الحكم بالدفع</w:t>
      </w:r>
      <w:r w:rsidR="004D2CA0">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ولم يتم الدفع بالشيك خلال فترة استناد الحكم بسداده فيجب على المحكوم عليه الدفع بمبلغ الشيك الذي صدر في حقه في حالة مباشرة </w:t>
      </w:r>
      <w:r w:rsidRPr="00C406BC">
        <w:rPr>
          <w:rFonts w:ascii="Traditional Arabic" w:eastAsia="Calibri" w:hAnsi="Traditional Arabic" w:cs="Traditional Arabic"/>
          <w:sz w:val="40"/>
          <w:szCs w:val="40"/>
        </w:rPr>
        <w:t xml:space="preserve"> .</w:t>
      </w:r>
      <w:r w:rsidRPr="00C406BC">
        <w:rPr>
          <w:rFonts w:ascii="Traditional Arabic" w:eastAsia="Calibri" w:hAnsi="Traditional Arabic" w:cs="Traditional Arabic"/>
          <w:sz w:val="40"/>
          <w:szCs w:val="40"/>
          <w:vertAlign w:val="superscript"/>
        </w:rPr>
        <w:footnoteReference w:id="56"/>
      </w:r>
    </w:p>
    <w:p w14:paraId="13C33041" w14:textId="45ACEB50" w:rsidR="00286DB0" w:rsidRPr="00C406BC" w:rsidRDefault="004D2CA0" w:rsidP="003E14BD">
      <w:pPr>
        <w:spacing w:after="240" w:line="360" w:lineRule="auto"/>
        <w:ind w:firstLine="720"/>
        <w:jc w:val="both"/>
        <w:rPr>
          <w:rFonts w:ascii="Traditional Arabic" w:eastAsia="Calibri" w:hAnsi="Traditional Arabic" w:cs="Traditional Arabic"/>
          <w:sz w:val="40"/>
          <w:szCs w:val="40"/>
          <w:rtl/>
        </w:rPr>
      </w:pPr>
      <w:r>
        <w:rPr>
          <w:rFonts w:ascii="Traditional Arabic" w:eastAsia="Calibri" w:hAnsi="Traditional Arabic" w:cs="Traditional Arabic" w:hint="cs"/>
          <w:sz w:val="40"/>
          <w:szCs w:val="40"/>
          <w:rtl/>
        </w:rPr>
        <w:t xml:space="preserve">هذا، </w:t>
      </w:r>
      <w:r w:rsidR="00286DB0" w:rsidRPr="00C406BC">
        <w:rPr>
          <w:rFonts w:ascii="Traditional Arabic" w:eastAsia="Calibri" w:hAnsi="Traditional Arabic" w:cs="Traditional Arabic"/>
          <w:sz w:val="40"/>
          <w:szCs w:val="40"/>
          <w:rtl/>
        </w:rPr>
        <w:t>وفيما يتعلق بدفع الشيك بعد تاريخ الدفع المحدد به</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والذي جاء على لسان محكمة التقادم صرفياً أنه مر بناء على طلب الحامل</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وهو ذات الشخص الذي كان معلماً للمدعي عليه في وثيقة الشيك</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وكان على علم بالأساس</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والحصول يعتبر ذلك دليلاً قاطعاً على تصرف المدين القائم على الشيك</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وهو ذات الشخص في تحصيل مستحقاته بمجرد طلبه</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وهو يجري في التصرف على الشيك دون أي اعتراض مسبق</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فيعتبر ذلك موافقة على الدفع</w:t>
      </w:r>
      <w:r w:rsidR="003E14BD">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ومن ثم فإن البنك لم يكن يمتلك بموجب الشيك أي حق في مساواة الشيك لمجرد طلب الحامل للشيك</w:t>
      </w:r>
      <w:r w:rsidR="003E14BD">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vertAlign w:val="superscript"/>
          <w:rtl/>
        </w:rPr>
        <w:footnoteReference w:id="57"/>
      </w:r>
      <w:r w:rsidR="003E14BD">
        <w:rPr>
          <w:rFonts w:ascii="Traditional Arabic" w:eastAsia="Calibri" w:hAnsi="Traditional Arabic" w:cs="Traditional Arabic" w:hint="cs"/>
          <w:sz w:val="40"/>
          <w:szCs w:val="40"/>
          <w:rtl/>
        </w:rPr>
        <w:t>و</w:t>
      </w:r>
      <w:r w:rsidR="00286DB0" w:rsidRPr="00C406BC">
        <w:rPr>
          <w:rFonts w:ascii="Traditional Arabic" w:eastAsia="Calibri" w:hAnsi="Traditional Arabic" w:cs="Traditional Arabic"/>
          <w:sz w:val="40"/>
          <w:szCs w:val="40"/>
          <w:rtl/>
        </w:rPr>
        <w:t xml:space="preserve">لا يمكن إثبات صحة دفع الشيك بمجرد دفعه بموجب الحكم بالدفع الذي قد يتم صدوره على الشيك بعد مرور مدة ستة أشهر من تاريخ الدفع المحدد به للشيك بمجرد تسليم المبلغ المطالب </w:t>
      </w:r>
      <w:r w:rsidR="00286DB0" w:rsidRPr="00C406BC">
        <w:rPr>
          <w:rFonts w:ascii="Traditional Arabic" w:eastAsia="Calibri" w:hAnsi="Traditional Arabic" w:cs="Traditional Arabic"/>
          <w:sz w:val="40"/>
          <w:szCs w:val="40"/>
          <w:rtl/>
        </w:rPr>
        <w:lastRenderedPageBreak/>
        <w:t>بالشيك لحامله</w:t>
      </w:r>
      <w:r w:rsidR="003E14BD">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لأن ذلك لا يعتبر تسليماً بالموجب الصحيح للشيك</w:t>
      </w:r>
      <w:r w:rsidR="003E14BD">
        <w:rPr>
          <w:rFonts w:ascii="Traditional Arabic" w:eastAsia="Calibri" w:hAnsi="Traditional Arabic" w:cs="Traditional Arabic" w:hint="cs"/>
          <w:sz w:val="40"/>
          <w:szCs w:val="40"/>
          <w:rtl/>
        </w:rPr>
        <w:t>، وهو</w:t>
      </w:r>
      <w:r w:rsidR="00286DB0" w:rsidRPr="00C406BC">
        <w:rPr>
          <w:rFonts w:ascii="Traditional Arabic" w:eastAsia="Calibri" w:hAnsi="Traditional Arabic" w:cs="Traditional Arabic"/>
          <w:sz w:val="40"/>
          <w:szCs w:val="40"/>
          <w:rtl/>
        </w:rPr>
        <w:t xml:space="preserve"> الحكم بالدفع الذي صدر على الشيك</w:t>
      </w:r>
      <w:r w:rsidR="003E14BD">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وبالتالي</w:t>
      </w:r>
      <w:r w:rsidR="003E14BD">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فإن البنك </w:t>
      </w:r>
      <w:r w:rsidR="003E14BD">
        <w:rPr>
          <w:rFonts w:ascii="Traditional Arabic" w:eastAsia="Calibri" w:hAnsi="Traditional Arabic" w:cs="Traditional Arabic" w:hint="cs"/>
          <w:sz w:val="40"/>
          <w:szCs w:val="40"/>
          <w:rtl/>
        </w:rPr>
        <w:t>بوصفه مسحبا</w:t>
      </w:r>
      <w:r w:rsidR="00286DB0" w:rsidRPr="00C406BC">
        <w:rPr>
          <w:rFonts w:ascii="Traditional Arabic" w:eastAsia="Calibri" w:hAnsi="Traditional Arabic" w:cs="Traditional Arabic"/>
          <w:sz w:val="40"/>
          <w:szCs w:val="40"/>
          <w:rtl/>
        </w:rPr>
        <w:t xml:space="preserve"> على الشيك لا يمكن أن يدفعه إلا بمجرد تسليمه بناء على طلب الحامل له</w:t>
      </w:r>
      <w:r w:rsidR="003E14BD">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w:t>
      </w:r>
      <w:r w:rsidR="003E14BD">
        <w:rPr>
          <w:rFonts w:ascii="Traditional Arabic" w:eastAsia="Calibri" w:hAnsi="Traditional Arabic" w:cs="Traditional Arabic" w:hint="cs"/>
          <w:sz w:val="40"/>
          <w:szCs w:val="40"/>
          <w:rtl/>
        </w:rPr>
        <w:t>على هذا،</w:t>
      </w:r>
      <w:r w:rsidR="00286DB0" w:rsidRPr="00C406BC">
        <w:rPr>
          <w:rFonts w:ascii="Traditional Arabic" w:eastAsia="Calibri" w:hAnsi="Traditional Arabic" w:cs="Traditional Arabic"/>
          <w:sz w:val="40"/>
          <w:szCs w:val="40"/>
          <w:rtl/>
        </w:rPr>
        <w:t xml:space="preserve"> فإن دفع الشيك بعد مرور مدة ستة أشهر من تاريخ الدفع المحدد به للشيك لا يعتبر دفعاً صحيحاً للشيك </w:t>
      </w:r>
      <w:r w:rsidR="00286DB0" w:rsidRPr="00C406BC">
        <w:rPr>
          <w:rFonts w:ascii="Traditional Arabic" w:eastAsia="Calibri" w:hAnsi="Traditional Arabic" w:cs="Traditional Arabic"/>
          <w:sz w:val="40"/>
          <w:szCs w:val="40"/>
        </w:rPr>
        <w:t xml:space="preserve"> .</w:t>
      </w:r>
    </w:p>
    <w:p w14:paraId="0E06DD8E" w14:textId="77777777" w:rsidR="00286DB0" w:rsidRPr="00C406BC" w:rsidRDefault="00286DB0" w:rsidP="00C406BC">
      <w:pPr>
        <w:spacing w:after="240" w:line="360" w:lineRule="auto"/>
        <w:ind w:firstLine="720"/>
        <w:jc w:val="both"/>
        <w:rPr>
          <w:rFonts w:ascii="Traditional Arabic" w:eastAsia="Calibri" w:hAnsi="Traditional Arabic" w:cs="Traditional Arabic"/>
          <w:sz w:val="40"/>
          <w:szCs w:val="40"/>
          <w:rtl/>
        </w:rPr>
      </w:pPr>
    </w:p>
    <w:p w14:paraId="386E3EAB" w14:textId="77777777" w:rsidR="00286DB0" w:rsidRPr="00C406BC" w:rsidRDefault="00286DB0" w:rsidP="00C406BC">
      <w:pPr>
        <w:spacing w:after="240" w:line="360" w:lineRule="auto"/>
        <w:ind w:firstLine="720"/>
        <w:jc w:val="both"/>
        <w:rPr>
          <w:rFonts w:ascii="Traditional Arabic" w:eastAsia="Calibri" w:hAnsi="Traditional Arabic" w:cs="Traditional Arabic"/>
          <w:sz w:val="40"/>
          <w:szCs w:val="40"/>
          <w:rtl/>
        </w:rPr>
      </w:pPr>
    </w:p>
    <w:p w14:paraId="7866F4CB" w14:textId="77777777" w:rsidR="00286DB0" w:rsidRPr="00C406BC" w:rsidRDefault="00286DB0" w:rsidP="00C406BC">
      <w:pPr>
        <w:spacing w:after="240" w:line="360" w:lineRule="auto"/>
        <w:ind w:firstLine="720"/>
        <w:jc w:val="both"/>
        <w:rPr>
          <w:rFonts w:ascii="Traditional Arabic" w:eastAsia="Calibri" w:hAnsi="Traditional Arabic" w:cs="Traditional Arabic"/>
          <w:sz w:val="40"/>
          <w:szCs w:val="40"/>
          <w:rtl/>
        </w:rPr>
      </w:pPr>
    </w:p>
    <w:p w14:paraId="20CA0550" w14:textId="77777777" w:rsidR="00286DB0" w:rsidRPr="00C406BC" w:rsidRDefault="00286DB0" w:rsidP="00C406BC">
      <w:pPr>
        <w:spacing w:after="240" w:line="360" w:lineRule="auto"/>
        <w:ind w:firstLine="720"/>
        <w:jc w:val="both"/>
        <w:rPr>
          <w:rFonts w:ascii="Traditional Arabic" w:eastAsia="Calibri" w:hAnsi="Traditional Arabic" w:cs="Traditional Arabic"/>
          <w:sz w:val="40"/>
          <w:szCs w:val="40"/>
          <w:rtl/>
        </w:rPr>
      </w:pPr>
    </w:p>
    <w:p w14:paraId="013A8164" w14:textId="77777777" w:rsidR="00286DB0" w:rsidRPr="00C406BC" w:rsidRDefault="00286DB0" w:rsidP="00C406BC">
      <w:pPr>
        <w:spacing w:after="240" w:line="360" w:lineRule="auto"/>
        <w:ind w:firstLine="720"/>
        <w:jc w:val="both"/>
        <w:rPr>
          <w:rFonts w:ascii="Traditional Arabic" w:eastAsia="Calibri" w:hAnsi="Traditional Arabic" w:cs="Traditional Arabic"/>
          <w:sz w:val="40"/>
          <w:szCs w:val="40"/>
          <w:rtl/>
        </w:rPr>
      </w:pPr>
    </w:p>
    <w:p w14:paraId="3C829D10" w14:textId="77777777" w:rsidR="00286DB0" w:rsidRDefault="00286DB0" w:rsidP="00C406BC">
      <w:pPr>
        <w:spacing w:after="240" w:line="360" w:lineRule="auto"/>
        <w:ind w:firstLine="720"/>
        <w:jc w:val="both"/>
        <w:rPr>
          <w:rFonts w:ascii="Traditional Arabic" w:eastAsia="Calibri" w:hAnsi="Traditional Arabic" w:cs="Traditional Arabic"/>
          <w:sz w:val="40"/>
          <w:szCs w:val="40"/>
          <w:rtl/>
        </w:rPr>
      </w:pPr>
    </w:p>
    <w:p w14:paraId="321C533C" w14:textId="77777777" w:rsidR="003E14BD" w:rsidRDefault="003E14BD" w:rsidP="00C406BC">
      <w:pPr>
        <w:spacing w:after="240" w:line="360" w:lineRule="auto"/>
        <w:ind w:firstLine="720"/>
        <w:jc w:val="both"/>
        <w:rPr>
          <w:rFonts w:ascii="Traditional Arabic" w:eastAsia="Calibri" w:hAnsi="Traditional Arabic" w:cs="Traditional Arabic"/>
          <w:sz w:val="40"/>
          <w:szCs w:val="40"/>
          <w:rtl/>
        </w:rPr>
      </w:pPr>
    </w:p>
    <w:p w14:paraId="5A919247" w14:textId="77777777" w:rsidR="003E14BD" w:rsidRPr="00C406BC" w:rsidRDefault="003E14BD" w:rsidP="00C406BC">
      <w:pPr>
        <w:spacing w:after="240" w:line="360" w:lineRule="auto"/>
        <w:ind w:firstLine="720"/>
        <w:jc w:val="both"/>
        <w:rPr>
          <w:rFonts w:ascii="Traditional Arabic" w:eastAsia="Calibri" w:hAnsi="Traditional Arabic" w:cs="Traditional Arabic"/>
          <w:sz w:val="40"/>
          <w:szCs w:val="40"/>
          <w:rtl/>
        </w:rPr>
      </w:pPr>
    </w:p>
    <w:p w14:paraId="727B24D2" w14:textId="45E942F5" w:rsidR="00286DB0" w:rsidRDefault="00286DB0" w:rsidP="00A85F14">
      <w:pPr>
        <w:shd w:val="clear" w:color="auto" w:fill="EDEDED" w:themeFill="accent3" w:themeFillTint="33"/>
        <w:spacing w:after="240" w:line="360" w:lineRule="auto"/>
        <w:jc w:val="center"/>
        <w:rPr>
          <w:rFonts w:ascii="Traditional Arabic" w:eastAsia="Calibri" w:hAnsi="Traditional Arabic" w:cs="Traditional Arabic"/>
          <w:b/>
          <w:bCs/>
          <w:sz w:val="40"/>
          <w:szCs w:val="40"/>
          <w:rtl/>
        </w:rPr>
      </w:pPr>
      <w:r w:rsidRPr="00C406BC">
        <w:rPr>
          <w:rFonts w:ascii="Traditional Arabic" w:eastAsia="Calibri" w:hAnsi="Traditional Arabic" w:cs="Traditional Arabic"/>
          <w:b/>
          <w:bCs/>
          <w:sz w:val="40"/>
          <w:szCs w:val="40"/>
          <w:rtl/>
        </w:rPr>
        <w:lastRenderedPageBreak/>
        <w:t xml:space="preserve">المبحث الثالث: </w:t>
      </w:r>
      <w:bookmarkStart w:id="43" w:name="_Hlk181173224"/>
      <w:r w:rsidRPr="00C406BC">
        <w:rPr>
          <w:rFonts w:ascii="Traditional Arabic" w:eastAsia="Calibri" w:hAnsi="Traditional Arabic" w:cs="Traditional Arabic"/>
          <w:b/>
          <w:bCs/>
          <w:sz w:val="40"/>
          <w:szCs w:val="40"/>
          <w:rtl/>
        </w:rPr>
        <w:t>مشكلات التقادم في نظام المحاكم التجارية السعودية</w:t>
      </w:r>
      <w:r w:rsidR="003E14BD">
        <w:rPr>
          <w:rFonts w:ascii="Traditional Arabic" w:eastAsia="Calibri" w:hAnsi="Traditional Arabic" w:cs="Traditional Arabic" w:hint="cs"/>
          <w:b/>
          <w:bCs/>
          <w:sz w:val="40"/>
          <w:szCs w:val="40"/>
          <w:rtl/>
        </w:rPr>
        <w:t xml:space="preserve"> </w:t>
      </w:r>
      <w:bookmarkEnd w:id="43"/>
      <w:r w:rsidR="003E14BD">
        <w:rPr>
          <w:rFonts w:ascii="Traditional Arabic" w:eastAsia="Calibri" w:hAnsi="Traditional Arabic" w:cs="Traditional Arabic" w:hint="cs"/>
          <w:b/>
          <w:bCs/>
          <w:sz w:val="40"/>
          <w:szCs w:val="40"/>
          <w:rtl/>
        </w:rPr>
        <w:t>وتحدياته</w:t>
      </w:r>
    </w:p>
    <w:p w14:paraId="23AEF62C" w14:textId="0EFAA7F4" w:rsidR="003E14BD" w:rsidRPr="00C406BC" w:rsidRDefault="003E14BD" w:rsidP="00A85F14">
      <w:pPr>
        <w:shd w:val="clear" w:color="auto" w:fill="EDEDED" w:themeFill="accent3" w:themeFillTint="33"/>
        <w:spacing w:after="240" w:line="360" w:lineRule="auto"/>
        <w:jc w:val="center"/>
        <w:rPr>
          <w:rFonts w:ascii="Traditional Arabic" w:eastAsia="Calibri" w:hAnsi="Traditional Arabic" w:cs="Traditional Arabic"/>
          <w:b/>
          <w:bCs/>
          <w:sz w:val="40"/>
          <w:szCs w:val="40"/>
          <w:rtl/>
        </w:rPr>
      </w:pPr>
      <w:r>
        <w:rPr>
          <w:rFonts w:ascii="Traditional Arabic" w:eastAsia="Calibri" w:hAnsi="Traditional Arabic" w:cs="Traditional Arabic" w:hint="cs"/>
          <w:b/>
          <w:bCs/>
          <w:sz w:val="40"/>
          <w:szCs w:val="40"/>
          <w:rtl/>
        </w:rPr>
        <w:t>ويشتمل على ثلاثة مطالب:</w:t>
      </w:r>
    </w:p>
    <w:p w14:paraId="794081C6" w14:textId="386646A1" w:rsidR="00286DB0" w:rsidRPr="003E14BD" w:rsidRDefault="00286DB0" w:rsidP="003E14BD">
      <w:pPr>
        <w:spacing w:after="240" w:line="360" w:lineRule="auto"/>
        <w:ind w:left="720"/>
        <w:rPr>
          <w:rFonts w:ascii="Traditional Arabic" w:eastAsia="Calibri" w:hAnsi="Traditional Arabic" w:cs="Traditional Arabic"/>
          <w:b/>
          <w:bCs/>
          <w:sz w:val="40"/>
          <w:szCs w:val="40"/>
          <w:rtl/>
        </w:rPr>
      </w:pPr>
      <w:r w:rsidRPr="003E14BD">
        <w:rPr>
          <w:rFonts w:ascii="Traditional Arabic" w:eastAsia="Calibri" w:hAnsi="Traditional Arabic" w:cs="Traditional Arabic"/>
          <w:b/>
          <w:bCs/>
          <w:sz w:val="40"/>
          <w:szCs w:val="40"/>
          <w:rtl/>
        </w:rPr>
        <w:t xml:space="preserve">المطلب الأول: </w:t>
      </w:r>
      <w:r w:rsidR="003E14BD" w:rsidRPr="003E14BD">
        <w:rPr>
          <w:rFonts w:ascii="Traditional Arabic" w:eastAsia="Calibri" w:hAnsi="Traditional Arabic" w:cs="Traditional Arabic" w:hint="cs"/>
          <w:b/>
          <w:bCs/>
          <w:sz w:val="40"/>
          <w:szCs w:val="40"/>
          <w:rtl/>
        </w:rPr>
        <w:t>أثر</w:t>
      </w:r>
      <w:r w:rsidRPr="003E14BD">
        <w:rPr>
          <w:rFonts w:ascii="Traditional Arabic" w:eastAsia="Calibri" w:hAnsi="Traditional Arabic" w:cs="Traditional Arabic"/>
          <w:b/>
          <w:bCs/>
          <w:sz w:val="40"/>
          <w:szCs w:val="40"/>
          <w:rtl/>
        </w:rPr>
        <w:t xml:space="preserve"> </w:t>
      </w:r>
      <w:bookmarkStart w:id="44" w:name="_Hlk181173380"/>
      <w:r w:rsidRPr="003E14BD">
        <w:rPr>
          <w:rFonts w:ascii="Traditional Arabic" w:eastAsia="Calibri" w:hAnsi="Traditional Arabic" w:cs="Traditional Arabic"/>
          <w:b/>
          <w:bCs/>
          <w:sz w:val="40"/>
          <w:szCs w:val="40"/>
          <w:rtl/>
        </w:rPr>
        <w:t>انقطاع التقادم في الالتزام الصر</w:t>
      </w:r>
      <w:r w:rsidR="003E14BD" w:rsidRPr="003E14BD">
        <w:rPr>
          <w:rFonts w:ascii="Traditional Arabic" w:eastAsia="Calibri" w:hAnsi="Traditional Arabic" w:cs="Traditional Arabic" w:hint="cs"/>
          <w:b/>
          <w:bCs/>
          <w:sz w:val="40"/>
          <w:szCs w:val="40"/>
          <w:rtl/>
        </w:rPr>
        <w:t>ف</w:t>
      </w:r>
      <w:bookmarkEnd w:id="44"/>
      <w:r w:rsidR="003E14BD">
        <w:rPr>
          <w:rFonts w:ascii="Traditional Arabic" w:eastAsia="Calibri" w:hAnsi="Traditional Arabic" w:cs="Traditional Arabic" w:hint="cs"/>
          <w:b/>
          <w:bCs/>
          <w:sz w:val="40"/>
          <w:szCs w:val="40"/>
          <w:rtl/>
        </w:rPr>
        <w:t>.</w:t>
      </w:r>
    </w:p>
    <w:p w14:paraId="3ABF81F1" w14:textId="30E0BAAD" w:rsidR="00286DB0" w:rsidRPr="003E14BD" w:rsidRDefault="00286DB0" w:rsidP="003E14BD">
      <w:pPr>
        <w:spacing w:after="240" w:line="360" w:lineRule="auto"/>
        <w:ind w:left="720"/>
        <w:rPr>
          <w:rFonts w:ascii="Traditional Arabic" w:eastAsia="Calibri" w:hAnsi="Traditional Arabic" w:cs="Traditional Arabic"/>
          <w:b/>
          <w:bCs/>
          <w:sz w:val="40"/>
          <w:szCs w:val="40"/>
          <w:rtl/>
        </w:rPr>
      </w:pPr>
      <w:r w:rsidRPr="003E14BD">
        <w:rPr>
          <w:rFonts w:ascii="Traditional Arabic" w:eastAsia="Calibri" w:hAnsi="Traditional Arabic" w:cs="Traditional Arabic"/>
          <w:b/>
          <w:bCs/>
          <w:sz w:val="40"/>
          <w:szCs w:val="40"/>
          <w:rtl/>
        </w:rPr>
        <w:t xml:space="preserve">المطلب الثاني: </w:t>
      </w:r>
      <w:r w:rsidR="003E14BD" w:rsidRPr="003E14BD">
        <w:rPr>
          <w:rFonts w:ascii="Traditional Arabic" w:eastAsia="Calibri" w:hAnsi="Traditional Arabic" w:cs="Traditional Arabic" w:hint="cs"/>
          <w:b/>
          <w:bCs/>
          <w:sz w:val="40"/>
          <w:szCs w:val="40"/>
          <w:rtl/>
        </w:rPr>
        <w:t>أثر</w:t>
      </w:r>
      <w:r w:rsidRPr="003E14BD">
        <w:rPr>
          <w:rFonts w:ascii="Traditional Arabic" w:eastAsia="Calibri" w:hAnsi="Traditional Arabic" w:cs="Traditional Arabic"/>
          <w:b/>
          <w:bCs/>
          <w:sz w:val="40"/>
          <w:szCs w:val="40"/>
          <w:rtl/>
        </w:rPr>
        <w:t xml:space="preserve"> </w:t>
      </w:r>
      <w:bookmarkStart w:id="45" w:name="_Hlk181173448"/>
      <w:r w:rsidRPr="003E14BD">
        <w:rPr>
          <w:rFonts w:ascii="Traditional Arabic" w:eastAsia="Calibri" w:hAnsi="Traditional Arabic" w:cs="Traditional Arabic"/>
          <w:b/>
          <w:bCs/>
          <w:sz w:val="40"/>
          <w:szCs w:val="40"/>
          <w:rtl/>
        </w:rPr>
        <w:t>وقف سريان عدم سماع الدعوى في الالتزام الصرفي</w:t>
      </w:r>
      <w:bookmarkEnd w:id="45"/>
      <w:r w:rsidRPr="003E14BD">
        <w:rPr>
          <w:rFonts w:ascii="Traditional Arabic" w:eastAsia="Calibri" w:hAnsi="Traditional Arabic" w:cs="Traditional Arabic"/>
          <w:b/>
          <w:bCs/>
          <w:sz w:val="40"/>
          <w:szCs w:val="40"/>
        </w:rPr>
        <w:t>.</w:t>
      </w:r>
    </w:p>
    <w:p w14:paraId="5FE8BB83" w14:textId="46B068C7" w:rsidR="00286DB0" w:rsidRPr="003E14BD" w:rsidRDefault="00286DB0" w:rsidP="003E14BD">
      <w:pPr>
        <w:spacing w:after="240" w:line="360" w:lineRule="auto"/>
        <w:ind w:left="720"/>
        <w:rPr>
          <w:rFonts w:ascii="Traditional Arabic" w:eastAsia="Calibri" w:hAnsi="Traditional Arabic" w:cs="Traditional Arabic"/>
          <w:b/>
          <w:bCs/>
          <w:sz w:val="40"/>
          <w:szCs w:val="40"/>
          <w:rtl/>
        </w:rPr>
      </w:pPr>
      <w:r w:rsidRPr="003E14BD">
        <w:rPr>
          <w:rFonts w:ascii="Traditional Arabic" w:eastAsia="Calibri" w:hAnsi="Traditional Arabic" w:cs="Traditional Arabic"/>
          <w:b/>
          <w:bCs/>
          <w:sz w:val="40"/>
          <w:szCs w:val="40"/>
          <w:rtl/>
        </w:rPr>
        <w:t xml:space="preserve">المطلب الثالث: آثار التقادم </w:t>
      </w:r>
      <w:bookmarkStart w:id="46" w:name="_Hlk181173629"/>
      <w:r w:rsidRPr="003E14BD">
        <w:rPr>
          <w:rFonts w:ascii="Traditional Arabic" w:eastAsia="Calibri" w:hAnsi="Traditional Arabic" w:cs="Traditional Arabic"/>
          <w:b/>
          <w:bCs/>
          <w:sz w:val="40"/>
          <w:szCs w:val="40"/>
          <w:rtl/>
        </w:rPr>
        <w:t>على العدالة</w:t>
      </w:r>
      <w:r w:rsidR="003E14BD">
        <w:rPr>
          <w:rFonts w:ascii="Traditional Arabic" w:eastAsia="Calibri" w:hAnsi="Traditional Arabic" w:cs="Traditional Arabic" w:hint="cs"/>
          <w:b/>
          <w:bCs/>
          <w:sz w:val="40"/>
          <w:szCs w:val="40"/>
          <w:rtl/>
        </w:rPr>
        <w:t>،</w:t>
      </w:r>
      <w:r w:rsidRPr="003E14BD">
        <w:rPr>
          <w:rFonts w:ascii="Traditional Arabic" w:eastAsia="Calibri" w:hAnsi="Traditional Arabic" w:cs="Traditional Arabic"/>
          <w:b/>
          <w:bCs/>
          <w:sz w:val="40"/>
          <w:szCs w:val="40"/>
          <w:rtl/>
        </w:rPr>
        <w:t xml:space="preserve"> والاقتصاد في المملكة العربية السعودية</w:t>
      </w:r>
      <w:bookmarkEnd w:id="46"/>
      <w:r w:rsidRPr="003E14BD">
        <w:rPr>
          <w:rFonts w:ascii="Traditional Arabic" w:eastAsia="Calibri" w:hAnsi="Traditional Arabic" w:cs="Traditional Arabic"/>
          <w:b/>
          <w:bCs/>
          <w:sz w:val="40"/>
          <w:szCs w:val="40"/>
        </w:rPr>
        <w:t>.</w:t>
      </w:r>
    </w:p>
    <w:p w14:paraId="79D05071" w14:textId="77777777" w:rsidR="00286DB0" w:rsidRPr="00C406BC" w:rsidRDefault="00286DB0" w:rsidP="00C406BC">
      <w:pPr>
        <w:spacing w:after="240" w:line="360" w:lineRule="auto"/>
        <w:ind w:firstLine="720"/>
        <w:jc w:val="both"/>
        <w:rPr>
          <w:rFonts w:ascii="Traditional Arabic" w:eastAsia="Calibri" w:hAnsi="Traditional Arabic" w:cs="Traditional Arabic"/>
          <w:sz w:val="40"/>
          <w:szCs w:val="40"/>
          <w:rtl/>
        </w:rPr>
      </w:pPr>
    </w:p>
    <w:p w14:paraId="47AAFE5B" w14:textId="77777777" w:rsidR="00286DB0" w:rsidRDefault="00286DB0" w:rsidP="00C406BC">
      <w:pPr>
        <w:spacing w:after="240" w:line="360" w:lineRule="auto"/>
        <w:ind w:firstLine="720"/>
        <w:jc w:val="both"/>
        <w:rPr>
          <w:rFonts w:ascii="Traditional Arabic" w:eastAsia="Calibri" w:hAnsi="Traditional Arabic" w:cs="Traditional Arabic"/>
          <w:sz w:val="40"/>
          <w:szCs w:val="40"/>
          <w:rtl/>
        </w:rPr>
      </w:pPr>
    </w:p>
    <w:p w14:paraId="11196094" w14:textId="77777777" w:rsidR="0079231A" w:rsidRDefault="0079231A" w:rsidP="00C406BC">
      <w:pPr>
        <w:spacing w:after="240" w:line="360" w:lineRule="auto"/>
        <w:ind w:firstLine="720"/>
        <w:jc w:val="both"/>
        <w:rPr>
          <w:rFonts w:ascii="Traditional Arabic" w:eastAsia="Calibri" w:hAnsi="Traditional Arabic" w:cs="Traditional Arabic"/>
          <w:sz w:val="40"/>
          <w:szCs w:val="40"/>
          <w:rtl/>
        </w:rPr>
      </w:pPr>
    </w:p>
    <w:p w14:paraId="5D889307" w14:textId="77777777" w:rsidR="0079231A" w:rsidRPr="00C406BC" w:rsidRDefault="0079231A" w:rsidP="00C406BC">
      <w:pPr>
        <w:spacing w:after="240" w:line="360" w:lineRule="auto"/>
        <w:ind w:firstLine="720"/>
        <w:jc w:val="both"/>
        <w:rPr>
          <w:rFonts w:ascii="Traditional Arabic" w:eastAsia="Calibri" w:hAnsi="Traditional Arabic" w:cs="Traditional Arabic"/>
          <w:sz w:val="40"/>
          <w:szCs w:val="40"/>
          <w:rtl/>
        </w:rPr>
      </w:pPr>
    </w:p>
    <w:p w14:paraId="421EE6A2" w14:textId="7C861FA4" w:rsidR="00286DB0" w:rsidRPr="00C406BC" w:rsidRDefault="00286DB0" w:rsidP="0079231A">
      <w:pPr>
        <w:pStyle w:val="1"/>
        <w:spacing w:line="360" w:lineRule="auto"/>
        <w:rPr>
          <w:rFonts w:ascii="Traditional Arabic" w:eastAsia="Calibri" w:hAnsi="Traditional Arabic" w:cs="Traditional Arabic"/>
          <w:b/>
          <w:bCs/>
          <w:color w:val="auto"/>
          <w:sz w:val="40"/>
          <w:szCs w:val="40"/>
        </w:rPr>
      </w:pPr>
    </w:p>
    <w:p w14:paraId="3682B775" w14:textId="099438B8" w:rsidR="00286DB0" w:rsidRPr="00C406BC" w:rsidRDefault="00286DB0" w:rsidP="00C406BC">
      <w:pPr>
        <w:pStyle w:val="1"/>
        <w:spacing w:line="360" w:lineRule="auto"/>
        <w:ind w:firstLine="720"/>
        <w:jc w:val="center"/>
        <w:rPr>
          <w:rFonts w:ascii="Traditional Arabic" w:eastAsia="Calibri" w:hAnsi="Traditional Arabic" w:cs="Traditional Arabic"/>
          <w:b/>
          <w:bCs/>
          <w:color w:val="auto"/>
          <w:sz w:val="40"/>
          <w:szCs w:val="40"/>
        </w:rPr>
      </w:pPr>
      <w:bookmarkStart w:id="47" w:name="_Toc168891653"/>
      <w:r w:rsidRPr="00C406BC">
        <w:rPr>
          <w:rFonts w:ascii="Traditional Arabic" w:eastAsia="Calibri" w:hAnsi="Traditional Arabic" w:cs="Traditional Arabic"/>
          <w:b/>
          <w:bCs/>
          <w:color w:val="auto"/>
          <w:sz w:val="40"/>
          <w:szCs w:val="40"/>
        </w:rPr>
        <w:t xml:space="preserve">المطلب الأول: </w:t>
      </w:r>
      <w:r w:rsidR="0079231A" w:rsidRPr="00C406BC">
        <w:rPr>
          <w:rFonts w:ascii="Traditional Arabic" w:eastAsia="Calibri" w:hAnsi="Traditional Arabic" w:cs="Traditional Arabic" w:hint="cs"/>
          <w:b/>
          <w:bCs/>
          <w:color w:val="auto"/>
          <w:sz w:val="40"/>
          <w:szCs w:val="40"/>
        </w:rPr>
        <w:t>أثر</w:t>
      </w:r>
      <w:r w:rsidRPr="00C406BC">
        <w:rPr>
          <w:rFonts w:ascii="Traditional Arabic" w:eastAsia="Calibri" w:hAnsi="Traditional Arabic" w:cs="Traditional Arabic"/>
          <w:b/>
          <w:bCs/>
          <w:color w:val="auto"/>
          <w:sz w:val="40"/>
          <w:szCs w:val="40"/>
        </w:rPr>
        <w:t xml:space="preserve"> انقطاع التقادم في الالتزام الصرفي</w:t>
      </w:r>
      <w:bookmarkEnd w:id="47"/>
      <w:r w:rsidR="0079231A">
        <w:rPr>
          <w:rFonts w:ascii="Traditional Arabic" w:eastAsia="Calibri" w:hAnsi="Traditional Arabic" w:cs="Traditional Arabic" w:hint="cs"/>
          <w:b/>
          <w:bCs/>
          <w:color w:val="auto"/>
          <w:sz w:val="40"/>
          <w:szCs w:val="40"/>
        </w:rPr>
        <w:t>:</w:t>
      </w:r>
    </w:p>
    <w:p w14:paraId="4FC4DED7" w14:textId="1650A704" w:rsidR="00286DB0" w:rsidRPr="0079231A" w:rsidRDefault="00286DB0" w:rsidP="00C406BC">
      <w:pPr>
        <w:spacing w:after="240" w:line="360" w:lineRule="auto"/>
        <w:ind w:firstLine="720"/>
        <w:rPr>
          <w:rFonts w:ascii="Traditional Arabic" w:eastAsia="Calibri" w:hAnsi="Traditional Arabic" w:cs="Traditional Arabic"/>
          <w:sz w:val="40"/>
          <w:szCs w:val="40"/>
        </w:rPr>
      </w:pPr>
      <w:r w:rsidRPr="0079231A">
        <w:rPr>
          <w:rFonts w:ascii="Traditional Arabic" w:eastAsia="Calibri" w:hAnsi="Traditional Arabic" w:cs="Traditional Arabic"/>
          <w:sz w:val="40"/>
          <w:szCs w:val="40"/>
          <w:rtl/>
        </w:rPr>
        <w:t>الفرع الأول: بداية التقادم</w:t>
      </w:r>
      <w:r w:rsidR="0079231A">
        <w:rPr>
          <w:rFonts w:ascii="Traditional Arabic" w:eastAsia="Calibri" w:hAnsi="Traditional Arabic" w:cs="Traditional Arabic" w:hint="cs"/>
          <w:sz w:val="40"/>
          <w:szCs w:val="40"/>
          <w:rtl/>
        </w:rPr>
        <w:t>:</w:t>
      </w:r>
    </w:p>
    <w:p w14:paraId="03709261" w14:textId="4CB186A6" w:rsidR="00286DB0" w:rsidRPr="00C406BC" w:rsidRDefault="0079231A" w:rsidP="0079231A">
      <w:pPr>
        <w:spacing w:after="240" w:line="360" w:lineRule="auto"/>
        <w:ind w:firstLine="720"/>
        <w:jc w:val="both"/>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t>إن</w:t>
      </w:r>
      <w:r w:rsidR="00286DB0" w:rsidRPr="00C406BC">
        <w:rPr>
          <w:rFonts w:ascii="Traditional Arabic" w:eastAsia="Calibri" w:hAnsi="Traditional Arabic" w:cs="Traditional Arabic"/>
          <w:sz w:val="40"/>
          <w:szCs w:val="40"/>
          <w:rtl/>
        </w:rPr>
        <w:t xml:space="preserve"> التقادم الصرفي</w:t>
      </w:r>
      <w:r>
        <w:rPr>
          <w:rFonts w:ascii="Traditional Arabic" w:eastAsia="Calibri" w:hAnsi="Traditional Arabic" w:cs="Traditional Arabic" w:hint="cs"/>
          <w:sz w:val="40"/>
          <w:szCs w:val="40"/>
          <w:rtl/>
        </w:rPr>
        <w:t xml:space="preserve"> يبدأ</w:t>
      </w:r>
      <w:r w:rsidR="00286DB0" w:rsidRPr="00C406BC">
        <w:rPr>
          <w:rFonts w:ascii="Traditional Arabic" w:eastAsia="Calibri" w:hAnsi="Traditional Arabic" w:cs="Traditional Arabic"/>
          <w:sz w:val="40"/>
          <w:szCs w:val="40"/>
          <w:rtl/>
        </w:rPr>
        <w:t xml:space="preserve"> في السريان اعتباراً من اليوم التالي ليوم حلول الميعاد، وهذا ما تؤكده المادة (194) من القانون التجاري المصري</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والمادة (189) من القانون التجاري الفرنسي، على خلاف بين القانونين في مدى دقة التعبير عن بداية تلك المدة</w:t>
      </w:r>
      <w:r>
        <w:rPr>
          <w:rFonts w:ascii="Traditional Arabic" w:eastAsia="Calibri" w:hAnsi="Traditional Arabic" w:cs="Traditional Arabic" w:hint="cs"/>
          <w:sz w:val="40"/>
          <w:szCs w:val="40"/>
          <w:rtl/>
        </w:rPr>
        <w:t xml:space="preserve">، </w:t>
      </w:r>
      <w:r w:rsidR="00286DB0" w:rsidRPr="00C406BC">
        <w:rPr>
          <w:rFonts w:ascii="Traditional Arabic" w:eastAsia="Calibri" w:hAnsi="Traditional Arabic" w:cs="Traditional Arabic"/>
          <w:sz w:val="40"/>
          <w:szCs w:val="40"/>
          <w:rtl/>
        </w:rPr>
        <w:t>أما في نظام الأوراق التجارية السعودي، فقد نصت المادة (116) على أنه لا تُسمع دعاوى رجوع الحامل على المسحوب عليه</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والساحب والمظهر</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وغيرهم من الملتزمين بعد مضي ستة أشهر من تاريخ انقضاء ميعاد تقديم الشيك، ولا تُسمع دعاوى رجوع الملتزمين بوفاء الشيك تجاه بعضهم </w:t>
      </w:r>
      <w:r>
        <w:rPr>
          <w:rFonts w:ascii="Traditional Arabic" w:eastAsia="Calibri" w:hAnsi="Traditional Arabic" w:cs="Traditional Arabic" w:hint="cs"/>
          <w:sz w:val="40"/>
          <w:szCs w:val="40"/>
          <w:rtl/>
        </w:rPr>
        <w:t>البعض</w:t>
      </w:r>
      <w:r w:rsidR="00286DB0" w:rsidRPr="00C406BC">
        <w:rPr>
          <w:rFonts w:ascii="Traditional Arabic" w:eastAsia="Calibri" w:hAnsi="Traditional Arabic" w:cs="Traditional Arabic"/>
          <w:sz w:val="40"/>
          <w:szCs w:val="40"/>
          <w:rtl/>
        </w:rPr>
        <w:t xml:space="preserve"> بعد مضي ستة أشهر من اليوم الذي وف</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ى فيه الملتزم، أو من يوم إقامة الدعوى عليه</w:t>
      </w:r>
      <w:r w:rsidR="00286DB0" w:rsidRPr="00C406BC">
        <w:rPr>
          <w:rFonts w:ascii="Traditional Arabic" w:eastAsia="Calibri" w:hAnsi="Traditional Arabic" w:cs="Traditional Arabic"/>
          <w:sz w:val="40"/>
          <w:szCs w:val="40"/>
        </w:rPr>
        <w:t xml:space="preserve"> </w:t>
      </w:r>
      <w:r>
        <w:rPr>
          <w:rFonts w:ascii="Traditional Arabic" w:eastAsia="Calibri" w:hAnsi="Traditional Arabic" w:cs="Traditional Arabic" w:hint="cs"/>
          <w:sz w:val="40"/>
          <w:szCs w:val="40"/>
          <w:rtl/>
        </w:rPr>
        <w:t xml:space="preserve">، </w:t>
      </w:r>
      <w:r w:rsidR="00286DB0" w:rsidRPr="00C406BC">
        <w:rPr>
          <w:rFonts w:ascii="Traditional Arabic" w:eastAsia="Calibri" w:hAnsi="Traditional Arabic" w:cs="Traditional Arabic"/>
          <w:sz w:val="40"/>
          <w:szCs w:val="40"/>
          <w:rtl/>
        </w:rPr>
        <w:t>وبذلك وضع المنظم التجاري السعودي ثلاثة فروض يبدأ في كل منها سريان عدم سماع الدعوى تبعًا لاختلاف مراكز الملتزمين صرفيًا على النحو الآتي</w:t>
      </w:r>
      <w:r w:rsidR="00286DB0" w:rsidRPr="00C406BC">
        <w:rPr>
          <w:rFonts w:ascii="Traditional Arabic" w:eastAsia="Calibri" w:hAnsi="Traditional Arabic" w:cs="Traditional Arabic"/>
          <w:sz w:val="40"/>
          <w:szCs w:val="40"/>
        </w:rPr>
        <w:t>:</w:t>
      </w:r>
      <w:r w:rsidR="00286DB0" w:rsidRPr="00C406BC">
        <w:rPr>
          <w:rFonts w:ascii="Traditional Arabic" w:eastAsia="Calibri" w:hAnsi="Traditional Arabic" w:cs="Traditional Arabic"/>
          <w:sz w:val="40"/>
          <w:szCs w:val="40"/>
          <w:vertAlign w:val="superscript"/>
        </w:rPr>
        <w:footnoteReference w:id="58"/>
      </w:r>
    </w:p>
    <w:p w14:paraId="10AC3EED" w14:textId="55D800E7" w:rsidR="00286DB0" w:rsidRPr="00C406BC" w:rsidRDefault="0079231A" w:rsidP="0079231A">
      <w:pPr>
        <w:spacing w:after="240" w:line="360" w:lineRule="auto"/>
        <w:jc w:val="both"/>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lastRenderedPageBreak/>
        <w:t>1-</w:t>
      </w:r>
      <w:r w:rsidR="00286DB0" w:rsidRPr="00C406BC">
        <w:rPr>
          <w:rFonts w:ascii="Traditional Arabic" w:eastAsia="Calibri" w:hAnsi="Traditional Arabic" w:cs="Traditional Arabic"/>
          <w:sz w:val="40"/>
          <w:szCs w:val="40"/>
          <w:rtl/>
        </w:rPr>
        <w:t>سريان عدم سماع الدعوى من تاريخ انقضاء ميعاد تقديم الشيك للوفاء</w:t>
      </w:r>
      <w:r w:rsidR="00286DB0" w:rsidRPr="00C406BC">
        <w:rPr>
          <w:rFonts w:ascii="Traditional Arabic" w:eastAsia="Calibri" w:hAnsi="Traditional Arabic" w:cs="Traditional Arabic"/>
          <w:sz w:val="40"/>
          <w:szCs w:val="40"/>
        </w:rPr>
        <w:t>.</w:t>
      </w:r>
    </w:p>
    <w:p w14:paraId="3AF6B99A" w14:textId="0B6E0958" w:rsidR="00286DB0" w:rsidRPr="00C406BC" w:rsidRDefault="0079231A" w:rsidP="0079231A">
      <w:pPr>
        <w:spacing w:after="240" w:line="360" w:lineRule="auto"/>
        <w:jc w:val="both"/>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t>2-</w:t>
      </w:r>
      <w:r w:rsidR="00286DB0" w:rsidRPr="00C406BC">
        <w:rPr>
          <w:rFonts w:ascii="Traditional Arabic" w:eastAsia="Calibri" w:hAnsi="Traditional Arabic" w:cs="Traditional Arabic"/>
          <w:sz w:val="40"/>
          <w:szCs w:val="40"/>
          <w:rtl/>
        </w:rPr>
        <w:t>بدء سريان عدم سماع الدعوى من اليوم الذي وف</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ى فيه الملتزم</w:t>
      </w:r>
      <w:r w:rsidR="00286DB0" w:rsidRPr="00C406BC">
        <w:rPr>
          <w:rFonts w:ascii="Traditional Arabic" w:eastAsia="Calibri" w:hAnsi="Traditional Arabic" w:cs="Traditional Arabic"/>
          <w:sz w:val="40"/>
          <w:szCs w:val="40"/>
        </w:rPr>
        <w:t>.</w:t>
      </w:r>
    </w:p>
    <w:p w14:paraId="263B28EE" w14:textId="74696C56" w:rsidR="00286DB0" w:rsidRPr="00C406BC" w:rsidRDefault="0079231A" w:rsidP="0079231A">
      <w:pPr>
        <w:spacing w:after="240" w:line="360" w:lineRule="auto"/>
        <w:jc w:val="both"/>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t>3-</w:t>
      </w:r>
      <w:r w:rsidR="00286DB0" w:rsidRPr="00C406BC">
        <w:rPr>
          <w:rFonts w:ascii="Traditional Arabic" w:eastAsia="Calibri" w:hAnsi="Traditional Arabic" w:cs="Traditional Arabic"/>
          <w:sz w:val="40"/>
          <w:szCs w:val="40"/>
          <w:rtl/>
        </w:rPr>
        <w:t>سريان عدم سماع الدعوى من يوم إقامة الدعوى على الملتزم</w:t>
      </w:r>
      <w:r w:rsidR="00286DB0" w:rsidRPr="00C406BC">
        <w:rPr>
          <w:rFonts w:ascii="Traditional Arabic" w:eastAsia="Calibri" w:hAnsi="Traditional Arabic" w:cs="Traditional Arabic"/>
          <w:sz w:val="40"/>
          <w:szCs w:val="40"/>
        </w:rPr>
        <w:t>.</w:t>
      </w:r>
    </w:p>
    <w:p w14:paraId="469E0016" w14:textId="28892F0D" w:rsidR="00286DB0" w:rsidRPr="00C406BC" w:rsidRDefault="0079231A" w:rsidP="00C406BC">
      <w:pPr>
        <w:spacing w:after="240" w:line="360" w:lineRule="auto"/>
        <w:ind w:firstLine="720"/>
        <w:jc w:val="both"/>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t xml:space="preserve">أما </w:t>
      </w:r>
      <w:r w:rsidR="00286DB0" w:rsidRPr="00C406BC">
        <w:rPr>
          <w:rFonts w:ascii="Traditional Arabic" w:eastAsia="Calibri" w:hAnsi="Traditional Arabic" w:cs="Traditional Arabic"/>
          <w:sz w:val="40"/>
          <w:szCs w:val="40"/>
          <w:rtl/>
        </w:rPr>
        <w:t>فيما يتعلق ببدء سريان عدم سماع الدعوى من تاريخ انقضاء ميعاد تقديم الشيك، فهو ينطبق على الورقة التجارية متى كانت واجبة الدفع لدى الاطلاع كالشيك، حيث إن الشيك مستحق الدفع بمجرد الاطلاع عليه</w:t>
      </w:r>
      <w:r>
        <w:rPr>
          <w:rFonts w:ascii="Traditional Arabic" w:eastAsia="Calibri" w:hAnsi="Traditional Arabic" w:cs="Traditional Arabic" w:hint="cs"/>
          <w:sz w:val="40"/>
          <w:szCs w:val="40"/>
          <w:rtl/>
        </w:rPr>
        <w:t xml:space="preserve"> وفقا للمادة</w:t>
      </w:r>
      <w:r w:rsidR="00286DB0" w:rsidRPr="00C406BC">
        <w:rPr>
          <w:rFonts w:ascii="Traditional Arabic" w:eastAsia="Calibri" w:hAnsi="Traditional Arabic" w:cs="Traditional Arabic"/>
          <w:sz w:val="40"/>
          <w:szCs w:val="40"/>
          <w:rtl/>
        </w:rPr>
        <w:t xml:space="preserve"> </w:t>
      </w:r>
      <w:r w:rsidRPr="00C406BC">
        <w:rPr>
          <w:rFonts w:ascii="Traditional Arabic" w:eastAsia="Calibri" w:hAnsi="Traditional Arabic" w:cs="Traditional Arabic" w:hint="cs"/>
          <w:sz w:val="40"/>
          <w:szCs w:val="40"/>
          <w:rtl/>
        </w:rPr>
        <w:t>(102</w:t>
      </w:r>
      <w:r w:rsidR="00286DB0" w:rsidRPr="00C406BC">
        <w:rPr>
          <w:rFonts w:ascii="Traditional Arabic" w:eastAsia="Calibri" w:hAnsi="Traditional Arabic" w:cs="Traditional Arabic"/>
          <w:sz w:val="40"/>
          <w:szCs w:val="40"/>
          <w:rtl/>
        </w:rPr>
        <w:t>)، وبالتالي</w:t>
      </w:r>
      <w:r>
        <w:rPr>
          <w:rFonts w:ascii="Traditional Arabic" w:eastAsia="Calibri" w:hAnsi="Traditional Arabic" w:cs="Traditional Arabic" w:hint="cs"/>
          <w:sz w:val="40"/>
          <w:szCs w:val="40"/>
          <w:rtl/>
        </w:rPr>
        <w:t>، فإنه</w:t>
      </w:r>
      <w:r w:rsidR="00286DB0" w:rsidRPr="00C406BC">
        <w:rPr>
          <w:rFonts w:ascii="Traditional Arabic" w:eastAsia="Calibri" w:hAnsi="Traditional Arabic" w:cs="Traditional Arabic"/>
          <w:sz w:val="40"/>
          <w:szCs w:val="40"/>
          <w:rtl/>
        </w:rPr>
        <w:t xml:space="preserve"> لا يجب فيه تحرير احتجاج عدم الوفاء</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ولكن حدد المنظم أن الشيك يجب تقديمه للوفاء خلال شهر متى كان مسحوبًا في المملكة</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ومستحق الوفاء فيها، وخلال ثلاثة أشهر متى كان مسحوبًا خارج </w:t>
      </w:r>
      <w:r w:rsidRPr="00C406BC">
        <w:rPr>
          <w:rFonts w:ascii="Traditional Arabic" w:eastAsia="Calibri" w:hAnsi="Traditional Arabic" w:cs="Traditional Arabic" w:hint="cs"/>
          <w:sz w:val="40"/>
          <w:szCs w:val="40"/>
          <w:rtl/>
        </w:rPr>
        <w:t>المملكة</w:t>
      </w:r>
      <w:r w:rsidRPr="00C406BC">
        <w:rPr>
          <w:rFonts w:ascii="Traditional Arabic" w:eastAsia="Calibri" w:hAnsi="Traditional Arabic" w:cs="Traditional Arabic"/>
          <w:sz w:val="40"/>
          <w:szCs w:val="40"/>
        </w:rPr>
        <w:t>.</w:t>
      </w:r>
      <w:r w:rsidR="00286DB0" w:rsidRPr="00C406BC">
        <w:rPr>
          <w:rFonts w:ascii="Traditional Arabic" w:eastAsia="Calibri" w:hAnsi="Traditional Arabic" w:cs="Traditional Arabic"/>
          <w:sz w:val="40"/>
          <w:szCs w:val="40"/>
          <w:vertAlign w:val="superscript"/>
        </w:rPr>
        <w:footnoteReference w:id="59"/>
      </w:r>
    </w:p>
    <w:p w14:paraId="36762CBA" w14:textId="28D68955" w:rsidR="00286DB0" w:rsidRPr="00C406BC" w:rsidRDefault="0079231A" w:rsidP="00C406BC">
      <w:pPr>
        <w:spacing w:after="240" w:line="360" w:lineRule="auto"/>
        <w:ind w:firstLine="720"/>
        <w:jc w:val="both"/>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lastRenderedPageBreak/>
        <w:t xml:space="preserve">هذا، </w:t>
      </w:r>
      <w:r w:rsidR="00286DB0" w:rsidRPr="00C406BC">
        <w:rPr>
          <w:rFonts w:ascii="Traditional Arabic" w:eastAsia="Calibri" w:hAnsi="Traditional Arabic" w:cs="Traditional Arabic"/>
          <w:sz w:val="40"/>
          <w:szCs w:val="40"/>
          <w:rtl/>
        </w:rPr>
        <w:t>وقد أخذ فريق من القانونيين</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والشراح بيوم الإنشاء</w:t>
      </w:r>
      <w:r w:rsidR="00006176">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ولم يأخذ</w:t>
      </w:r>
      <w:r w:rsidR="00006176">
        <w:rPr>
          <w:rFonts w:ascii="Traditional Arabic" w:eastAsia="Calibri" w:hAnsi="Traditional Arabic" w:cs="Traditional Arabic" w:hint="cs"/>
          <w:sz w:val="40"/>
          <w:szCs w:val="40"/>
          <w:rtl/>
        </w:rPr>
        <w:t>وا</w:t>
      </w:r>
      <w:r w:rsidR="00286DB0" w:rsidRPr="00C406BC">
        <w:rPr>
          <w:rFonts w:ascii="Traditional Arabic" w:eastAsia="Calibri" w:hAnsi="Traditional Arabic" w:cs="Traditional Arabic"/>
          <w:sz w:val="40"/>
          <w:szCs w:val="40"/>
          <w:rtl/>
        </w:rPr>
        <w:t xml:space="preserve"> باليوم التالي لانقضاء ميعاد التقديم، بينما يأخذ فريق آخر من القانونين بآخر يوم من الأيام المحددة لتقديم الورقة تاريخيًا</w:t>
      </w:r>
      <w:r w:rsidR="00006176">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وهو هنا آخر يوم من تاريخ انقضاء ميعاد تقديم </w:t>
      </w:r>
      <w:r w:rsidR="00006176" w:rsidRPr="00C406BC">
        <w:rPr>
          <w:rFonts w:ascii="Traditional Arabic" w:eastAsia="Calibri" w:hAnsi="Traditional Arabic" w:cs="Traditional Arabic" w:hint="cs"/>
          <w:sz w:val="40"/>
          <w:szCs w:val="40"/>
          <w:rtl/>
        </w:rPr>
        <w:t>الشيك</w:t>
      </w:r>
      <w:r w:rsidR="00006176" w:rsidRPr="00C406BC">
        <w:rPr>
          <w:rFonts w:ascii="Traditional Arabic" w:eastAsia="Calibri" w:hAnsi="Traditional Arabic" w:cs="Traditional Arabic"/>
          <w:sz w:val="40"/>
          <w:szCs w:val="40"/>
        </w:rPr>
        <w:t>.</w:t>
      </w:r>
    </w:p>
    <w:p w14:paraId="6E9EA226" w14:textId="495F3A73" w:rsidR="00286DB0" w:rsidRPr="00006176" w:rsidRDefault="00286DB0" w:rsidP="00C406BC">
      <w:pPr>
        <w:spacing w:after="240" w:line="360" w:lineRule="auto"/>
        <w:ind w:firstLine="720"/>
        <w:jc w:val="both"/>
        <w:rPr>
          <w:rFonts w:ascii="Traditional Arabic" w:eastAsia="Calibri" w:hAnsi="Traditional Arabic" w:cs="Traditional Arabic"/>
          <w:sz w:val="40"/>
          <w:szCs w:val="40"/>
        </w:rPr>
      </w:pPr>
      <w:r w:rsidRPr="00006176">
        <w:rPr>
          <w:rFonts w:ascii="Traditional Arabic" w:eastAsia="Calibri" w:hAnsi="Traditional Arabic" w:cs="Traditional Arabic"/>
          <w:sz w:val="40"/>
          <w:szCs w:val="40"/>
          <w:rtl/>
        </w:rPr>
        <w:t>الفرع الثاني: انقطاع التقادم</w:t>
      </w:r>
      <w:r w:rsidR="00006176">
        <w:rPr>
          <w:rFonts w:ascii="Traditional Arabic" w:eastAsia="Calibri" w:hAnsi="Traditional Arabic" w:cs="Traditional Arabic" w:hint="cs"/>
          <w:sz w:val="40"/>
          <w:szCs w:val="40"/>
          <w:rtl/>
        </w:rPr>
        <w:t>:</w:t>
      </w:r>
    </w:p>
    <w:p w14:paraId="0E06337E" w14:textId="76221453" w:rsidR="00286DB0" w:rsidRPr="00C406BC" w:rsidRDefault="00477C80" w:rsidP="00477C80">
      <w:pPr>
        <w:spacing w:after="240" w:line="360" w:lineRule="auto"/>
        <w:ind w:firstLine="720"/>
        <w:jc w:val="both"/>
        <w:rPr>
          <w:rFonts w:ascii="Traditional Arabic" w:eastAsia="Calibri" w:hAnsi="Traditional Arabic" w:cs="Traditional Arabic"/>
          <w:sz w:val="40"/>
          <w:szCs w:val="40"/>
        </w:rPr>
      </w:pPr>
      <w:r w:rsidRPr="00C406BC">
        <w:rPr>
          <w:rFonts w:ascii="Traditional Arabic" w:eastAsia="Calibri" w:hAnsi="Traditional Arabic" w:cs="Traditional Arabic"/>
          <w:sz w:val="40"/>
          <w:szCs w:val="40"/>
          <w:rtl/>
        </w:rPr>
        <w:t>يمكن تعريف الانقطاع بأنه حدوث فعل لمصلحة صاحب الحق المهدد بالزوال بالتقادم قبل تمام مدته، فتضيع به ما فات من</w:t>
      </w:r>
      <w:r>
        <w:rPr>
          <w:rFonts w:ascii="Traditional Arabic" w:eastAsia="Calibri" w:hAnsi="Traditional Arabic" w:cs="Traditional Arabic" w:hint="cs"/>
          <w:sz w:val="40"/>
          <w:szCs w:val="40"/>
          <w:rtl/>
        </w:rPr>
        <w:t>ه،</w:t>
      </w:r>
      <w:r w:rsidRPr="00C406BC">
        <w:rPr>
          <w:rFonts w:ascii="Traditional Arabic" w:eastAsia="Calibri" w:hAnsi="Traditional Arabic" w:cs="Traditional Arabic"/>
          <w:sz w:val="40"/>
          <w:szCs w:val="40"/>
          <w:rtl/>
        </w:rPr>
        <w:t xml:space="preserve"> </w:t>
      </w:r>
      <w:r>
        <w:rPr>
          <w:rFonts w:ascii="Traditional Arabic" w:eastAsia="Calibri" w:hAnsi="Traditional Arabic" w:cs="Traditional Arabic" w:hint="cs"/>
          <w:sz w:val="40"/>
          <w:szCs w:val="40"/>
          <w:rtl/>
        </w:rPr>
        <w:t>ف</w:t>
      </w:r>
      <w:r w:rsidR="00286DB0" w:rsidRPr="00C406BC">
        <w:rPr>
          <w:rFonts w:ascii="Traditional Arabic" w:eastAsia="Calibri" w:hAnsi="Traditional Arabic" w:cs="Traditional Arabic"/>
          <w:sz w:val="40"/>
          <w:szCs w:val="40"/>
          <w:rtl/>
        </w:rPr>
        <w:t>قد يعرض للتقادم سبب من أسباب الانقطاع، فتكون المدة التي انقضت قبل انقطاعه كأنها لم تكن، كما لو طالب الدائن بحقه</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اتخذ أي إجراء لاستحصال حقه</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مثل إقامة الدعوى</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إخطار المدين بالدفع</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وإذا بدأ سريان التقادم من جديد بعد انقطاعه، فإنه يعقبه تقادم جديد تسري عليه أحكام التقادم العامة</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w:t>
      </w:r>
      <w:r w:rsidRPr="00C406BC">
        <w:rPr>
          <w:rFonts w:ascii="Traditional Arabic" w:eastAsia="Calibri" w:hAnsi="Traditional Arabic" w:cs="Traditional Arabic" w:hint="cs"/>
          <w:sz w:val="40"/>
          <w:szCs w:val="40"/>
          <w:rtl/>
        </w:rPr>
        <w:t>الخاصة</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وتقر معظم القوانين التجارية مبدأ قطع سريان التقادم</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إيقافه بصورة واضحة، و</w:t>
      </w:r>
      <w:r>
        <w:rPr>
          <w:rFonts w:ascii="Traditional Arabic" w:eastAsia="Calibri" w:hAnsi="Traditional Arabic" w:cs="Traditional Arabic" w:hint="cs"/>
          <w:sz w:val="40"/>
          <w:szCs w:val="40"/>
          <w:rtl/>
        </w:rPr>
        <w:t>لانقطاع التقادم</w:t>
      </w:r>
      <w:r w:rsidR="00286DB0" w:rsidRPr="00C406BC">
        <w:rPr>
          <w:rFonts w:ascii="Traditional Arabic" w:eastAsia="Calibri" w:hAnsi="Traditional Arabic" w:cs="Traditional Arabic"/>
          <w:sz w:val="40"/>
          <w:szCs w:val="40"/>
          <w:rtl/>
        </w:rPr>
        <w:t xml:space="preserve"> أسباب </w:t>
      </w:r>
      <w:r>
        <w:rPr>
          <w:rFonts w:ascii="Traditional Arabic" w:eastAsia="Calibri" w:hAnsi="Traditional Arabic" w:cs="Traditional Arabic" w:hint="cs"/>
          <w:sz w:val="40"/>
          <w:szCs w:val="40"/>
          <w:rtl/>
        </w:rPr>
        <w:t xml:space="preserve">متعددة </w:t>
      </w:r>
      <w:r w:rsidR="00286DB0" w:rsidRPr="00C406BC">
        <w:rPr>
          <w:rFonts w:ascii="Traditional Arabic" w:eastAsia="Calibri" w:hAnsi="Traditional Arabic" w:cs="Traditional Arabic"/>
          <w:sz w:val="40"/>
          <w:szCs w:val="40"/>
          <w:rtl/>
        </w:rPr>
        <w:t xml:space="preserve">منها المطالبة القضائية، </w:t>
      </w:r>
      <w:r>
        <w:rPr>
          <w:rFonts w:ascii="Traditional Arabic" w:eastAsia="Calibri" w:hAnsi="Traditional Arabic" w:cs="Traditional Arabic" w:hint="cs"/>
          <w:sz w:val="40"/>
          <w:szCs w:val="40"/>
          <w:rtl/>
        </w:rPr>
        <w:t>و</w:t>
      </w:r>
      <w:r w:rsidR="00286DB0" w:rsidRPr="00C406BC">
        <w:rPr>
          <w:rFonts w:ascii="Traditional Arabic" w:eastAsia="Calibri" w:hAnsi="Traditional Arabic" w:cs="Traditional Arabic"/>
          <w:sz w:val="40"/>
          <w:szCs w:val="40"/>
          <w:rtl/>
        </w:rPr>
        <w:t>التنبيه</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والحجز، والطلب الذي يتقدم به الدائن لقبول حقه في التفليس</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ونحوها، وأي عمل يقوم به الدائن للتمسك بحقه في إحدى الدعاوى</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كما ينقطع التقادم إذا أقر المدين بالدين إقرارًا صريحًا</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ضمنيًا</w:t>
      </w:r>
      <w:r w:rsidR="00286DB0" w:rsidRPr="00C406BC">
        <w:rPr>
          <w:rFonts w:ascii="Traditional Arabic" w:eastAsia="Calibri" w:hAnsi="Traditional Arabic" w:cs="Traditional Arabic"/>
          <w:sz w:val="40"/>
          <w:szCs w:val="40"/>
        </w:rPr>
        <w:t xml:space="preserve"> .</w:t>
      </w:r>
    </w:p>
    <w:p w14:paraId="1EF22A6A" w14:textId="3925B11B" w:rsidR="00286DB0" w:rsidRPr="00C406BC" w:rsidRDefault="00477C80" w:rsidP="00C406BC">
      <w:pPr>
        <w:spacing w:after="240" w:line="360" w:lineRule="auto"/>
        <w:ind w:firstLine="720"/>
        <w:jc w:val="both"/>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lastRenderedPageBreak/>
        <w:t>يلخص</w:t>
      </w:r>
      <w:r w:rsidR="00286DB0" w:rsidRPr="00C406BC">
        <w:rPr>
          <w:rFonts w:ascii="Traditional Arabic" w:eastAsia="Calibri" w:hAnsi="Traditional Arabic" w:cs="Traditional Arabic"/>
          <w:sz w:val="40"/>
          <w:szCs w:val="40"/>
          <w:rtl/>
        </w:rPr>
        <w:t xml:space="preserve"> النظام التجاري السعودي، وخاصة في نظام الأوراق التجارية </w:t>
      </w:r>
      <w:r>
        <w:rPr>
          <w:rFonts w:ascii="Traditional Arabic" w:eastAsia="Calibri" w:hAnsi="Traditional Arabic" w:cs="Traditional Arabic" w:hint="cs"/>
          <w:sz w:val="40"/>
          <w:szCs w:val="40"/>
          <w:rtl/>
        </w:rPr>
        <w:t>أسباب انقضاء التقادم</w:t>
      </w:r>
      <w:r w:rsidR="00286DB0" w:rsidRPr="00C406BC">
        <w:rPr>
          <w:rFonts w:ascii="Traditional Arabic" w:eastAsia="Calibri" w:hAnsi="Traditional Arabic" w:cs="Traditional Arabic"/>
          <w:sz w:val="40"/>
          <w:szCs w:val="40"/>
          <w:rtl/>
        </w:rPr>
        <w:t xml:space="preserve"> فيما يلي</w:t>
      </w:r>
      <w:r w:rsidR="00286DB0" w:rsidRPr="00C406BC">
        <w:rPr>
          <w:rFonts w:ascii="Traditional Arabic" w:eastAsia="Calibri" w:hAnsi="Traditional Arabic" w:cs="Traditional Arabic"/>
          <w:sz w:val="40"/>
          <w:szCs w:val="40"/>
        </w:rPr>
        <w:t>:</w:t>
      </w:r>
      <w:r w:rsidR="00286DB0" w:rsidRPr="00C406BC">
        <w:rPr>
          <w:rFonts w:ascii="Traditional Arabic" w:eastAsia="Calibri" w:hAnsi="Traditional Arabic" w:cs="Traditional Arabic"/>
          <w:sz w:val="40"/>
          <w:szCs w:val="40"/>
          <w:vertAlign w:val="superscript"/>
        </w:rPr>
        <w:footnoteReference w:id="60"/>
      </w:r>
    </w:p>
    <w:p w14:paraId="4B51DC7B" w14:textId="36AE25FE" w:rsidR="00286DB0" w:rsidRPr="00C406BC" w:rsidRDefault="00477C80" w:rsidP="00477C80">
      <w:pPr>
        <w:spacing w:after="240" w:line="360" w:lineRule="auto"/>
        <w:rPr>
          <w:rFonts w:ascii="Traditional Arabic" w:eastAsia="Calibri" w:hAnsi="Traditional Arabic" w:cs="Traditional Arabic"/>
          <w:sz w:val="40"/>
          <w:szCs w:val="40"/>
        </w:rPr>
      </w:pPr>
      <w:r w:rsidRPr="00477C80">
        <w:rPr>
          <w:rFonts w:ascii="Traditional Arabic" w:eastAsia="Calibri" w:hAnsi="Traditional Arabic" w:cs="Traditional Arabic" w:hint="cs"/>
          <w:sz w:val="40"/>
          <w:szCs w:val="40"/>
          <w:rtl/>
        </w:rPr>
        <w:t>1-</w:t>
      </w:r>
      <w:r w:rsidR="00286DB0" w:rsidRPr="00477C80">
        <w:rPr>
          <w:rFonts w:ascii="Traditional Arabic" w:eastAsia="Calibri" w:hAnsi="Traditional Arabic" w:cs="Traditional Arabic"/>
          <w:sz w:val="40"/>
          <w:szCs w:val="40"/>
          <w:rtl/>
        </w:rPr>
        <w:t>المطالبة القضائية</w:t>
      </w:r>
      <w:r w:rsidR="00286DB0" w:rsidRPr="00477C80">
        <w:rPr>
          <w:rFonts w:ascii="Traditional Arabic" w:eastAsia="Calibri" w:hAnsi="Traditional Arabic" w:cs="Traditional Arabic"/>
          <w:sz w:val="40"/>
          <w:szCs w:val="40"/>
        </w:rPr>
        <w:t xml:space="preserve">: </w:t>
      </w:r>
      <w:r w:rsidR="00286DB0" w:rsidRPr="00477C80">
        <w:rPr>
          <w:rFonts w:ascii="Traditional Arabic" w:eastAsia="Calibri" w:hAnsi="Traditional Arabic" w:cs="Traditional Arabic"/>
          <w:sz w:val="40"/>
          <w:szCs w:val="40"/>
          <w:rtl/>
        </w:rPr>
        <w:t>تنقطع</w:t>
      </w:r>
      <w:r w:rsidR="00286DB0" w:rsidRPr="00C406BC">
        <w:rPr>
          <w:rFonts w:ascii="Traditional Arabic" w:eastAsia="Calibri" w:hAnsi="Traditional Arabic" w:cs="Traditional Arabic"/>
          <w:sz w:val="40"/>
          <w:szCs w:val="40"/>
          <w:rtl/>
        </w:rPr>
        <w:t xml:space="preserve"> مدة عدم سماع الدعوى بمطالبة الدائن بحقه عن طريق إقامة الدعوى، وهذا ما يفهم من نص المادة (85) من نظام الأوراق التجارية السعودي</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w:t>
      </w:r>
      <w:r>
        <w:rPr>
          <w:rFonts w:ascii="Traditional Arabic" w:eastAsia="Calibri" w:hAnsi="Traditional Arabic" w:cs="Traditional Arabic" w:hint="cs"/>
          <w:sz w:val="40"/>
          <w:szCs w:val="40"/>
          <w:rtl/>
        </w:rPr>
        <w:t>و</w:t>
      </w:r>
      <w:r w:rsidR="00286DB0" w:rsidRPr="00C406BC">
        <w:rPr>
          <w:rFonts w:ascii="Traditional Arabic" w:eastAsia="Calibri" w:hAnsi="Traditional Arabic" w:cs="Traditional Arabic"/>
          <w:sz w:val="40"/>
          <w:szCs w:val="40"/>
          <w:rtl/>
        </w:rPr>
        <w:t xml:space="preserve">يشمل ذلك التنبيه على يد محضر، </w:t>
      </w:r>
      <w:r>
        <w:rPr>
          <w:rFonts w:ascii="Traditional Arabic" w:eastAsia="Calibri" w:hAnsi="Traditional Arabic" w:cs="Traditional Arabic" w:hint="cs"/>
          <w:sz w:val="40"/>
          <w:szCs w:val="40"/>
          <w:rtl/>
        </w:rPr>
        <w:t>و</w:t>
      </w:r>
      <w:r w:rsidR="00286DB0" w:rsidRPr="00C406BC">
        <w:rPr>
          <w:rFonts w:ascii="Traditional Arabic" w:eastAsia="Calibri" w:hAnsi="Traditional Arabic" w:cs="Traditional Arabic"/>
          <w:sz w:val="40"/>
          <w:szCs w:val="40"/>
          <w:rtl/>
        </w:rPr>
        <w:t>الحجز التنفيذي</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التحفظي، وإشهار إفلاس المدين</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الملتزم في السند </w:t>
      </w:r>
      <w:r w:rsidR="00934824" w:rsidRPr="00C406BC">
        <w:rPr>
          <w:rFonts w:ascii="Traditional Arabic" w:eastAsia="Calibri" w:hAnsi="Traditional Arabic" w:cs="Traditional Arabic" w:hint="cs"/>
          <w:sz w:val="40"/>
          <w:szCs w:val="40"/>
          <w:rtl/>
        </w:rPr>
        <w:t>لأمر</w:t>
      </w:r>
      <w:r w:rsidR="00934824" w:rsidRPr="00C406BC">
        <w:rPr>
          <w:rFonts w:ascii="Traditional Arabic" w:eastAsia="Calibri" w:hAnsi="Traditional Arabic" w:cs="Traditional Arabic"/>
          <w:sz w:val="40"/>
          <w:szCs w:val="40"/>
        </w:rPr>
        <w:t>.</w:t>
      </w:r>
    </w:p>
    <w:p w14:paraId="1E842876" w14:textId="43C3A856" w:rsidR="00286DB0" w:rsidRPr="00C406BC" w:rsidRDefault="00477C80" w:rsidP="00477C80">
      <w:pPr>
        <w:spacing w:after="240" w:line="360" w:lineRule="auto"/>
        <w:rPr>
          <w:rFonts w:ascii="Traditional Arabic" w:eastAsia="Calibri" w:hAnsi="Traditional Arabic" w:cs="Traditional Arabic"/>
          <w:sz w:val="40"/>
          <w:szCs w:val="40"/>
        </w:rPr>
      </w:pPr>
      <w:r w:rsidRPr="00477C80">
        <w:rPr>
          <w:rFonts w:ascii="Traditional Arabic" w:eastAsia="Calibri" w:hAnsi="Traditional Arabic" w:cs="Traditional Arabic" w:hint="cs"/>
          <w:sz w:val="40"/>
          <w:szCs w:val="40"/>
          <w:rtl/>
        </w:rPr>
        <w:t>2-</w:t>
      </w:r>
      <w:r w:rsidR="00286DB0" w:rsidRPr="00477C80">
        <w:rPr>
          <w:rFonts w:ascii="Traditional Arabic" w:eastAsia="Calibri" w:hAnsi="Traditional Arabic" w:cs="Traditional Arabic"/>
          <w:sz w:val="40"/>
          <w:szCs w:val="40"/>
          <w:rtl/>
        </w:rPr>
        <w:t xml:space="preserve">إقرار المدين بحق حامل الورقة </w:t>
      </w:r>
      <w:r w:rsidR="00934824" w:rsidRPr="00477C80">
        <w:rPr>
          <w:rFonts w:ascii="Traditional Arabic" w:eastAsia="Calibri" w:hAnsi="Traditional Arabic" w:cs="Traditional Arabic" w:hint="cs"/>
          <w:sz w:val="40"/>
          <w:szCs w:val="40"/>
          <w:rtl/>
        </w:rPr>
        <w:t>التجارية</w:t>
      </w:r>
      <w:r w:rsidR="00934824">
        <w:rPr>
          <w:rFonts w:ascii="Traditional Arabic" w:eastAsia="Calibri" w:hAnsi="Traditional Arabic" w:cs="Traditional Arabic"/>
          <w:sz w:val="40"/>
          <w:szCs w:val="40"/>
        </w:rPr>
        <w:t xml:space="preserve">: </w:t>
      </w:r>
      <w:r w:rsidR="00934824">
        <w:rPr>
          <w:rFonts w:ascii="Traditional Arabic" w:eastAsia="Calibri" w:hAnsi="Traditional Arabic" w:cs="Traditional Arabic"/>
          <w:sz w:val="40"/>
          <w:szCs w:val="40"/>
          <w:rtl/>
        </w:rPr>
        <w:t>يعتبر</w:t>
      </w:r>
      <w:r w:rsidR="00286DB0" w:rsidRPr="00C406BC">
        <w:rPr>
          <w:rFonts w:ascii="Traditional Arabic" w:eastAsia="Calibri" w:hAnsi="Traditional Arabic" w:cs="Traditional Arabic"/>
          <w:sz w:val="40"/>
          <w:szCs w:val="40"/>
        </w:rPr>
        <w:t xml:space="preserve"> </w:t>
      </w:r>
      <w:r w:rsidR="00286DB0" w:rsidRPr="00C406BC">
        <w:rPr>
          <w:rFonts w:ascii="Traditional Arabic" w:eastAsia="Calibri" w:hAnsi="Traditional Arabic" w:cs="Traditional Arabic"/>
          <w:sz w:val="40"/>
          <w:szCs w:val="40"/>
          <w:rtl/>
        </w:rPr>
        <w:t>الإقرار بالدين في ورقة مستقلة اعترافًا بالدين، ويترتب على ذلك انتهاء الالتزام الصرفي الناشئ عن الورقة التجارية</w:t>
      </w:r>
      <w:r w:rsidR="00934824">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w:t>
      </w:r>
      <w:r w:rsidR="00934824">
        <w:rPr>
          <w:rFonts w:ascii="Traditional Arabic" w:eastAsia="Calibri" w:hAnsi="Traditional Arabic" w:cs="Traditional Arabic" w:hint="cs"/>
          <w:sz w:val="40"/>
          <w:szCs w:val="40"/>
          <w:rtl/>
        </w:rPr>
        <w:t>و</w:t>
      </w:r>
      <w:r w:rsidR="00286DB0" w:rsidRPr="00C406BC">
        <w:rPr>
          <w:rFonts w:ascii="Traditional Arabic" w:eastAsia="Calibri" w:hAnsi="Traditional Arabic" w:cs="Traditional Arabic"/>
          <w:sz w:val="40"/>
          <w:szCs w:val="40"/>
          <w:rtl/>
        </w:rPr>
        <w:t>يكون الإقرار كتابيًا</w:t>
      </w:r>
      <w:r w:rsidR="00934824">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ومصدرًا مستقلاً للالتزام، وليس ضمن الورقة التجارية </w:t>
      </w:r>
      <w:r w:rsidR="00934824" w:rsidRPr="00C406BC">
        <w:rPr>
          <w:rFonts w:ascii="Traditional Arabic" w:eastAsia="Calibri" w:hAnsi="Traditional Arabic" w:cs="Traditional Arabic" w:hint="cs"/>
          <w:sz w:val="40"/>
          <w:szCs w:val="40"/>
          <w:rtl/>
        </w:rPr>
        <w:t>نفسها</w:t>
      </w:r>
      <w:r w:rsidR="00934824" w:rsidRPr="00C406BC">
        <w:rPr>
          <w:rFonts w:ascii="Traditional Arabic" w:eastAsia="Calibri" w:hAnsi="Traditional Arabic" w:cs="Traditional Arabic"/>
          <w:sz w:val="40"/>
          <w:szCs w:val="40"/>
        </w:rPr>
        <w:t>.</w:t>
      </w:r>
    </w:p>
    <w:p w14:paraId="4F10FF2C" w14:textId="705E7631" w:rsidR="00286DB0" w:rsidRPr="00C406BC" w:rsidRDefault="00934824" w:rsidP="00934824">
      <w:pPr>
        <w:spacing w:after="240" w:line="360" w:lineRule="auto"/>
        <w:rPr>
          <w:rFonts w:ascii="Traditional Arabic" w:eastAsia="Calibri" w:hAnsi="Traditional Arabic" w:cs="Traditional Arabic"/>
          <w:sz w:val="40"/>
          <w:szCs w:val="40"/>
        </w:rPr>
      </w:pPr>
      <w:r w:rsidRPr="00934824">
        <w:rPr>
          <w:rFonts w:ascii="Traditional Arabic" w:eastAsia="Calibri" w:hAnsi="Traditional Arabic" w:cs="Traditional Arabic" w:hint="cs"/>
          <w:sz w:val="40"/>
          <w:szCs w:val="40"/>
          <w:rtl/>
        </w:rPr>
        <w:t>3-</w:t>
      </w:r>
      <w:r w:rsidR="00286DB0" w:rsidRPr="00934824">
        <w:rPr>
          <w:rFonts w:ascii="Traditional Arabic" w:eastAsia="Calibri" w:hAnsi="Traditional Arabic" w:cs="Traditional Arabic"/>
          <w:sz w:val="40"/>
          <w:szCs w:val="40"/>
          <w:rtl/>
        </w:rPr>
        <w:t>صدور حكم بالدين</w:t>
      </w:r>
      <w:r w:rsidR="00286DB0" w:rsidRPr="00C406BC">
        <w:rPr>
          <w:rFonts w:ascii="Traditional Arabic" w:eastAsia="Calibri" w:hAnsi="Traditional Arabic" w:cs="Traditional Arabic"/>
          <w:sz w:val="40"/>
          <w:szCs w:val="40"/>
        </w:rPr>
        <w:t xml:space="preserve">: </w:t>
      </w:r>
      <w:r w:rsidR="00286DB0" w:rsidRPr="00C406BC">
        <w:rPr>
          <w:rFonts w:ascii="Traditional Arabic" w:eastAsia="Calibri" w:hAnsi="Traditional Arabic" w:cs="Traditional Arabic"/>
          <w:sz w:val="40"/>
          <w:szCs w:val="40"/>
          <w:rtl/>
        </w:rPr>
        <w:t>إذا قضت المحكمة بحق المدعي في مطالبته، فإن الحق في هذه الحالة يكون مصدره الحكم القضائي</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وليس الورقة التجارية، ولا يخضع لمبدأ عدم سماع الدعوى، بل يخضع لقواعد التشريع العامة في المملكة العربية </w:t>
      </w:r>
      <w:r w:rsidR="004750F2" w:rsidRPr="00C406BC">
        <w:rPr>
          <w:rFonts w:ascii="Traditional Arabic" w:eastAsia="Calibri" w:hAnsi="Traditional Arabic" w:cs="Traditional Arabic" w:hint="cs"/>
          <w:sz w:val="40"/>
          <w:szCs w:val="40"/>
          <w:rtl/>
        </w:rPr>
        <w:t>السعودية</w:t>
      </w:r>
      <w:r w:rsidR="004750F2" w:rsidRPr="00C406BC">
        <w:rPr>
          <w:rFonts w:ascii="Traditional Arabic" w:eastAsia="Calibri" w:hAnsi="Traditional Arabic" w:cs="Traditional Arabic"/>
          <w:sz w:val="40"/>
          <w:szCs w:val="40"/>
        </w:rPr>
        <w:t>.</w:t>
      </w:r>
    </w:p>
    <w:p w14:paraId="5A1A1FB0" w14:textId="7FAAC3CA" w:rsidR="00286DB0" w:rsidRPr="00C406BC" w:rsidRDefault="00934824" w:rsidP="00934824">
      <w:pPr>
        <w:spacing w:after="240" w:line="360" w:lineRule="auto"/>
        <w:rPr>
          <w:rFonts w:ascii="Traditional Arabic" w:eastAsia="Calibri" w:hAnsi="Traditional Arabic" w:cs="Traditional Arabic"/>
          <w:sz w:val="40"/>
          <w:szCs w:val="40"/>
          <w:rtl/>
        </w:rPr>
      </w:pPr>
      <w:r w:rsidRPr="00934824">
        <w:rPr>
          <w:rFonts w:ascii="Traditional Arabic" w:eastAsia="Calibri" w:hAnsi="Traditional Arabic" w:cs="Traditional Arabic" w:hint="cs"/>
          <w:sz w:val="40"/>
          <w:szCs w:val="40"/>
          <w:rtl/>
        </w:rPr>
        <w:lastRenderedPageBreak/>
        <w:t xml:space="preserve">هذا وقد نصت </w:t>
      </w:r>
      <w:r w:rsidR="00286DB0" w:rsidRPr="00934824">
        <w:rPr>
          <w:rFonts w:ascii="Traditional Arabic" w:eastAsia="Calibri" w:hAnsi="Traditional Arabic" w:cs="Traditional Arabic"/>
          <w:sz w:val="40"/>
          <w:szCs w:val="40"/>
          <w:rtl/>
        </w:rPr>
        <w:t>المادة (86) من نظام الأوراق التجارية السعودي</w:t>
      </w:r>
      <w:r w:rsidR="00286DB0" w:rsidRPr="00C406BC">
        <w:rPr>
          <w:rFonts w:ascii="Traditional Arabic" w:eastAsia="Calibri" w:hAnsi="Traditional Arabic" w:cs="Traditional Arabic"/>
          <w:sz w:val="40"/>
          <w:szCs w:val="40"/>
          <w:rtl/>
        </w:rPr>
        <w:t xml:space="preserve"> على أن انقطاع المواعيد لا يكون له أثر بالنسبة لمن اتخذ قبله الإجراء القاطع لهذه المواعيد، مما يعني أن النظام السعودي يقر فكرة قطع سريان المدة اللازمة للقول بعدم سماع </w:t>
      </w:r>
      <w:r w:rsidR="004750F2" w:rsidRPr="00C406BC">
        <w:rPr>
          <w:rFonts w:ascii="Traditional Arabic" w:eastAsia="Calibri" w:hAnsi="Traditional Arabic" w:cs="Traditional Arabic" w:hint="cs"/>
          <w:sz w:val="40"/>
          <w:szCs w:val="40"/>
          <w:rtl/>
        </w:rPr>
        <w:t>الدعوى</w:t>
      </w:r>
      <w:r w:rsidR="004750F2" w:rsidRPr="00C406BC">
        <w:rPr>
          <w:rFonts w:ascii="Traditional Arabic" w:eastAsia="Calibri" w:hAnsi="Traditional Arabic" w:cs="Traditional Arabic"/>
          <w:sz w:val="40"/>
          <w:szCs w:val="40"/>
        </w:rPr>
        <w:t>.</w:t>
      </w:r>
    </w:p>
    <w:p w14:paraId="09B628FA" w14:textId="77777777" w:rsidR="00C406BC" w:rsidRPr="00C406BC" w:rsidRDefault="00C406BC" w:rsidP="00C406BC">
      <w:pPr>
        <w:spacing w:after="240" w:line="360" w:lineRule="auto"/>
        <w:rPr>
          <w:rFonts w:ascii="Traditional Arabic" w:eastAsia="Calibri" w:hAnsi="Traditional Arabic" w:cs="Traditional Arabic"/>
          <w:sz w:val="40"/>
          <w:szCs w:val="40"/>
          <w:rtl/>
        </w:rPr>
      </w:pPr>
    </w:p>
    <w:p w14:paraId="2C4EBE5C" w14:textId="77777777" w:rsidR="00C406BC" w:rsidRPr="00C406BC" w:rsidRDefault="00C406BC" w:rsidP="00C406BC">
      <w:pPr>
        <w:spacing w:after="240" w:line="360" w:lineRule="auto"/>
        <w:rPr>
          <w:rFonts w:ascii="Traditional Arabic" w:eastAsia="Calibri" w:hAnsi="Traditional Arabic" w:cs="Traditional Arabic"/>
          <w:sz w:val="40"/>
          <w:szCs w:val="40"/>
          <w:rtl/>
        </w:rPr>
      </w:pPr>
    </w:p>
    <w:p w14:paraId="46A487BB" w14:textId="77777777" w:rsidR="00C406BC" w:rsidRPr="00C406BC" w:rsidRDefault="00C406BC" w:rsidP="00C406BC">
      <w:pPr>
        <w:spacing w:after="240" w:line="360" w:lineRule="auto"/>
        <w:rPr>
          <w:rFonts w:ascii="Traditional Arabic" w:eastAsia="Calibri" w:hAnsi="Traditional Arabic" w:cs="Traditional Arabic"/>
          <w:sz w:val="40"/>
          <w:szCs w:val="40"/>
          <w:rtl/>
        </w:rPr>
      </w:pPr>
    </w:p>
    <w:p w14:paraId="09E90A8A" w14:textId="77777777" w:rsidR="00C406BC" w:rsidRDefault="00C406BC" w:rsidP="00C406BC">
      <w:pPr>
        <w:spacing w:after="240" w:line="360" w:lineRule="auto"/>
        <w:rPr>
          <w:rFonts w:ascii="Traditional Arabic" w:eastAsia="Calibri" w:hAnsi="Traditional Arabic" w:cs="Traditional Arabic"/>
          <w:sz w:val="40"/>
          <w:szCs w:val="40"/>
          <w:rtl/>
        </w:rPr>
      </w:pPr>
    </w:p>
    <w:p w14:paraId="46F49552" w14:textId="77777777" w:rsidR="001549B9" w:rsidRDefault="001549B9" w:rsidP="00C406BC">
      <w:pPr>
        <w:spacing w:after="240" w:line="360" w:lineRule="auto"/>
        <w:rPr>
          <w:rFonts w:ascii="Traditional Arabic" w:eastAsia="Calibri" w:hAnsi="Traditional Arabic" w:cs="Traditional Arabic"/>
          <w:sz w:val="40"/>
          <w:szCs w:val="40"/>
          <w:rtl/>
        </w:rPr>
      </w:pPr>
    </w:p>
    <w:p w14:paraId="212C6A0B" w14:textId="77777777" w:rsidR="001549B9" w:rsidRPr="00C406BC" w:rsidRDefault="001549B9" w:rsidP="00C406BC">
      <w:pPr>
        <w:spacing w:after="240" w:line="360" w:lineRule="auto"/>
        <w:rPr>
          <w:rFonts w:ascii="Traditional Arabic" w:eastAsia="Calibri" w:hAnsi="Traditional Arabic" w:cs="Traditional Arabic"/>
          <w:sz w:val="40"/>
          <w:szCs w:val="40"/>
          <w:rtl/>
        </w:rPr>
      </w:pPr>
    </w:p>
    <w:p w14:paraId="4C460242" w14:textId="77777777" w:rsidR="00C406BC" w:rsidRDefault="00C406BC" w:rsidP="00C406BC">
      <w:pPr>
        <w:spacing w:after="240" w:line="360" w:lineRule="auto"/>
        <w:rPr>
          <w:rFonts w:ascii="Traditional Arabic" w:eastAsia="Calibri" w:hAnsi="Traditional Arabic" w:cs="Traditional Arabic"/>
          <w:sz w:val="40"/>
          <w:szCs w:val="40"/>
          <w:rtl/>
        </w:rPr>
      </w:pPr>
    </w:p>
    <w:p w14:paraId="7DE2F4A9" w14:textId="77777777" w:rsidR="001549B9" w:rsidRPr="00C406BC" w:rsidRDefault="001549B9" w:rsidP="00C406BC">
      <w:pPr>
        <w:spacing w:after="240" w:line="360" w:lineRule="auto"/>
        <w:rPr>
          <w:rFonts w:ascii="Traditional Arabic" w:eastAsia="Calibri" w:hAnsi="Traditional Arabic" w:cs="Traditional Arabic"/>
          <w:sz w:val="40"/>
          <w:szCs w:val="40"/>
          <w:rtl/>
        </w:rPr>
      </w:pPr>
    </w:p>
    <w:p w14:paraId="373E8193" w14:textId="1630E2F1" w:rsidR="00286DB0" w:rsidRPr="00C406BC" w:rsidRDefault="00286DB0" w:rsidP="00C406BC">
      <w:pPr>
        <w:pStyle w:val="1"/>
        <w:spacing w:line="360" w:lineRule="auto"/>
        <w:ind w:firstLine="720"/>
        <w:jc w:val="center"/>
        <w:rPr>
          <w:rFonts w:ascii="Traditional Arabic" w:eastAsia="Calibri" w:hAnsi="Traditional Arabic" w:cs="Traditional Arabic"/>
          <w:b/>
          <w:bCs/>
          <w:color w:val="auto"/>
          <w:sz w:val="40"/>
          <w:szCs w:val="40"/>
        </w:rPr>
      </w:pPr>
      <w:bookmarkStart w:id="48" w:name="_Toc168891654"/>
      <w:r w:rsidRPr="00C406BC">
        <w:rPr>
          <w:rFonts w:ascii="Traditional Arabic" w:eastAsia="Calibri" w:hAnsi="Traditional Arabic" w:cs="Traditional Arabic"/>
          <w:b/>
          <w:bCs/>
          <w:color w:val="auto"/>
          <w:sz w:val="40"/>
          <w:szCs w:val="40"/>
        </w:rPr>
        <w:lastRenderedPageBreak/>
        <w:t xml:space="preserve">المطلب الثاني: </w:t>
      </w:r>
      <w:r w:rsidR="001549B9" w:rsidRPr="00C406BC">
        <w:rPr>
          <w:rFonts w:ascii="Traditional Arabic" w:eastAsia="Calibri" w:hAnsi="Traditional Arabic" w:cs="Traditional Arabic" w:hint="cs"/>
          <w:b/>
          <w:bCs/>
          <w:color w:val="auto"/>
          <w:sz w:val="40"/>
          <w:szCs w:val="40"/>
        </w:rPr>
        <w:t>أثر</w:t>
      </w:r>
      <w:r w:rsidRPr="00C406BC">
        <w:rPr>
          <w:rFonts w:ascii="Traditional Arabic" w:eastAsia="Calibri" w:hAnsi="Traditional Arabic" w:cs="Traditional Arabic"/>
          <w:b/>
          <w:bCs/>
          <w:color w:val="auto"/>
          <w:sz w:val="40"/>
          <w:szCs w:val="40"/>
        </w:rPr>
        <w:t xml:space="preserve"> وقف سريان عدم سماع الدعوى في الالتزام الصرفي.</w:t>
      </w:r>
      <w:bookmarkEnd w:id="48"/>
    </w:p>
    <w:p w14:paraId="73FDA7AF" w14:textId="6C7EE734" w:rsidR="00286DB0" w:rsidRPr="001549B9" w:rsidRDefault="00286DB0" w:rsidP="00C406BC">
      <w:pPr>
        <w:spacing w:after="240" w:line="360" w:lineRule="auto"/>
        <w:rPr>
          <w:rFonts w:ascii="Traditional Arabic" w:eastAsia="Calibri" w:hAnsi="Traditional Arabic" w:cs="Traditional Arabic"/>
          <w:sz w:val="40"/>
          <w:szCs w:val="40"/>
        </w:rPr>
      </w:pPr>
      <w:r w:rsidRPr="001549B9">
        <w:rPr>
          <w:rFonts w:ascii="Traditional Arabic" w:eastAsia="Calibri" w:hAnsi="Traditional Arabic" w:cs="Traditional Arabic"/>
          <w:sz w:val="40"/>
          <w:szCs w:val="40"/>
          <w:rtl/>
        </w:rPr>
        <w:t>الفرع الأول: وقف سريان مدة عدم سماع الدعوى</w:t>
      </w:r>
      <w:r w:rsidR="001549B9">
        <w:rPr>
          <w:rFonts w:ascii="Traditional Arabic" w:eastAsia="Calibri" w:hAnsi="Traditional Arabic" w:cs="Traditional Arabic" w:hint="cs"/>
          <w:sz w:val="40"/>
          <w:szCs w:val="40"/>
          <w:rtl/>
        </w:rPr>
        <w:t>:</w:t>
      </w:r>
    </w:p>
    <w:p w14:paraId="6516E91F" w14:textId="292CC08D" w:rsidR="00286DB0" w:rsidRPr="00C406BC" w:rsidRDefault="001549B9" w:rsidP="00C406BC">
      <w:pPr>
        <w:spacing w:after="240" w:line="360" w:lineRule="auto"/>
        <w:ind w:firstLine="720"/>
        <w:jc w:val="both"/>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t>يقصد ب</w:t>
      </w:r>
      <w:r w:rsidR="00286DB0" w:rsidRPr="00C406BC">
        <w:rPr>
          <w:rFonts w:ascii="Traditional Arabic" w:eastAsia="Calibri" w:hAnsi="Traditional Arabic" w:cs="Traditional Arabic"/>
          <w:sz w:val="40"/>
          <w:szCs w:val="40"/>
          <w:rtl/>
        </w:rPr>
        <w:t>وقف سريان التقادم أن تعرض من الأسباب ما يوقف سريان تقادم الالتزام الصرفي، وذلك كأن تحدث ظروف يترتب عليها استحالة قيام الدائن بالمطالبة بحقه</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مثل الكوارث الطبيعية</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والظروف الطارئة</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وعند ذلك لا تحسب المدة التي وقف فيها سريان التقادم، وتحسب المدة التي سبقت</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والمدة التي تلت</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وهذا يعني اختلاف انقطاع التقادم عن وقفه، فمتى انقطع التقادم زال أثره، وأصبحت المدة التي قبل انقطاعه كأن لم تكن، ولا يعتد بها في حساب التقادم الجديد الذي يلي التقادم المنقطع</w:t>
      </w:r>
      <w:r w:rsidR="00286DB0" w:rsidRPr="00C406BC">
        <w:rPr>
          <w:rFonts w:ascii="Traditional Arabic" w:eastAsia="Calibri" w:hAnsi="Traditional Arabic" w:cs="Traditional Arabic"/>
          <w:sz w:val="40"/>
          <w:szCs w:val="40"/>
        </w:rPr>
        <w:t>.</w:t>
      </w:r>
      <w:r w:rsidR="00286DB0" w:rsidRPr="00C406BC">
        <w:rPr>
          <w:rFonts w:ascii="Traditional Arabic" w:eastAsia="Calibri" w:hAnsi="Traditional Arabic" w:cs="Traditional Arabic"/>
          <w:sz w:val="40"/>
          <w:szCs w:val="40"/>
          <w:vertAlign w:val="superscript"/>
        </w:rPr>
        <w:footnoteReference w:id="61"/>
      </w:r>
    </w:p>
    <w:p w14:paraId="3AFA308A" w14:textId="7DC20FE0" w:rsidR="00286DB0" w:rsidRPr="00C406BC" w:rsidRDefault="001549B9" w:rsidP="00C406BC">
      <w:pPr>
        <w:spacing w:after="240" w:line="360" w:lineRule="auto"/>
        <w:ind w:firstLine="720"/>
        <w:jc w:val="both"/>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t>إن من المهم</w:t>
      </w:r>
      <w:r w:rsidR="00286DB0" w:rsidRPr="00C406BC">
        <w:rPr>
          <w:rFonts w:ascii="Traditional Arabic" w:eastAsia="Calibri" w:hAnsi="Traditional Arabic" w:cs="Traditional Arabic"/>
          <w:sz w:val="40"/>
          <w:szCs w:val="40"/>
          <w:rtl/>
        </w:rPr>
        <w:t xml:space="preserve"> هنا </w:t>
      </w:r>
      <w:r>
        <w:rPr>
          <w:rFonts w:ascii="Traditional Arabic" w:eastAsia="Calibri" w:hAnsi="Traditional Arabic" w:cs="Traditional Arabic" w:hint="cs"/>
          <w:sz w:val="40"/>
          <w:szCs w:val="40"/>
          <w:rtl/>
        </w:rPr>
        <w:t xml:space="preserve">بيان </w:t>
      </w:r>
      <w:r w:rsidR="00286DB0" w:rsidRPr="00C406BC">
        <w:rPr>
          <w:rFonts w:ascii="Traditional Arabic" w:eastAsia="Calibri" w:hAnsi="Traditional Arabic" w:cs="Traditional Arabic"/>
          <w:sz w:val="40"/>
          <w:szCs w:val="40"/>
          <w:rtl/>
        </w:rPr>
        <w:t>أن وقف سريان مدة عدم سماع الدعوى لم يتطرق له نظام الأوراق التجارية السعودي، لكن معظم الأنظمة</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والقوانين الوضعية قد أقرته على اعتبار أنه من المبادئ القانونية العامة</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ومن ذلك ما قرره مجلس الوزراء في المملكة العربية السعودية أثناء تنظيمه للقواعد التي تسقط المطالبة من خلالها تجاه الخزانة العامة، حيث قرر وقف سريان تلك المدة متى تأخر </w:t>
      </w:r>
      <w:r w:rsidR="00286DB0" w:rsidRPr="00C406BC">
        <w:rPr>
          <w:rFonts w:ascii="Traditional Arabic" w:eastAsia="Calibri" w:hAnsi="Traditional Arabic" w:cs="Traditional Arabic"/>
          <w:sz w:val="40"/>
          <w:szCs w:val="40"/>
          <w:rtl/>
        </w:rPr>
        <w:lastRenderedPageBreak/>
        <w:t>صاحب الحق عن المطالبة بعذر مشروع، والذي حدد المجلس بقراره رقم</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(990)</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وتاريخ 15/6/1396 هـ بتخويل ديوان المظالم إقرار العذر المشروع في الحالات التي يتأخر أصحابها عن المطالبة بصرفها لأكثر من سنتين</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أو ثلاث سنوات بحسب الأحوال، ومدى مشروعية العذر المدعى به من أصحاب الحقوق، ويلاحظ أن معظم القوانين والأنظمة قد حصرت أسباب وقف التقادم بطائفتين من</w:t>
      </w:r>
      <w:r w:rsidR="00286DB0" w:rsidRPr="00C406BC">
        <w:rPr>
          <w:rFonts w:ascii="Traditional Arabic" w:eastAsia="Calibri" w:hAnsi="Traditional Arabic" w:cs="Traditional Arabic"/>
          <w:sz w:val="40"/>
          <w:szCs w:val="40"/>
        </w:rPr>
        <w:t>:</w:t>
      </w:r>
      <w:r w:rsidR="00286DB0" w:rsidRPr="00C406BC">
        <w:rPr>
          <w:rFonts w:ascii="Traditional Arabic" w:eastAsia="Calibri" w:hAnsi="Traditional Arabic" w:cs="Traditional Arabic"/>
          <w:sz w:val="40"/>
          <w:szCs w:val="40"/>
          <w:vertAlign w:val="superscript"/>
        </w:rPr>
        <w:footnoteReference w:id="62"/>
      </w:r>
    </w:p>
    <w:p w14:paraId="2B24F5A7" w14:textId="17F3344B" w:rsidR="00286DB0" w:rsidRPr="00C406BC" w:rsidRDefault="00286DB0" w:rsidP="001549B9">
      <w:pPr>
        <w:spacing w:after="240" w:line="360" w:lineRule="auto"/>
        <w:rPr>
          <w:rFonts w:ascii="Traditional Arabic" w:eastAsia="Calibri" w:hAnsi="Traditional Arabic" w:cs="Traditional Arabic"/>
          <w:sz w:val="40"/>
          <w:szCs w:val="40"/>
        </w:rPr>
      </w:pPr>
      <w:r w:rsidRPr="00C406BC">
        <w:rPr>
          <w:rFonts w:ascii="Traditional Arabic" w:eastAsia="Calibri" w:hAnsi="Traditional Arabic" w:cs="Traditional Arabic"/>
          <w:sz w:val="40"/>
          <w:szCs w:val="40"/>
          <w:rtl/>
        </w:rPr>
        <w:t>الطائفة الأولى: القُصّر والمحجور عليهم، إذ لا يسري في حقهم التقادم، وبصفة خاصة التقادم قصير الأجل، ومنه تقادم الالتزام الصرفي، وذلك لنقص أهليتهم</w:t>
      </w:r>
      <w:r w:rsidR="001549B9">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سواءً وجد من يمثلهم قانوناً</w:t>
      </w:r>
      <w:r w:rsidR="001549B9">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أم لم يوجد</w:t>
      </w:r>
      <w:r w:rsidRPr="00C406BC">
        <w:rPr>
          <w:rFonts w:ascii="Traditional Arabic" w:eastAsia="Calibri" w:hAnsi="Traditional Arabic" w:cs="Traditional Arabic"/>
          <w:sz w:val="40"/>
          <w:szCs w:val="40"/>
        </w:rPr>
        <w:t>.</w:t>
      </w:r>
    </w:p>
    <w:p w14:paraId="43F0C123" w14:textId="6263A125" w:rsidR="00286DB0" w:rsidRPr="00C406BC" w:rsidRDefault="00286DB0" w:rsidP="001549B9">
      <w:pPr>
        <w:spacing w:after="240" w:line="360" w:lineRule="auto"/>
        <w:jc w:val="both"/>
        <w:rPr>
          <w:rFonts w:ascii="Traditional Arabic" w:eastAsia="Calibri" w:hAnsi="Traditional Arabic" w:cs="Traditional Arabic"/>
          <w:sz w:val="40"/>
          <w:szCs w:val="40"/>
        </w:rPr>
      </w:pPr>
      <w:r w:rsidRPr="00C406BC">
        <w:rPr>
          <w:rFonts w:ascii="Traditional Arabic" w:eastAsia="Calibri" w:hAnsi="Traditional Arabic" w:cs="Traditional Arabic"/>
          <w:sz w:val="40"/>
          <w:szCs w:val="40"/>
          <w:rtl/>
        </w:rPr>
        <w:t>الطائفة الثانية: الذين تستوجب علاقتهم بالمدينين وقف سريان التقادم في حقهم</w:t>
      </w:r>
      <w:r w:rsidR="001549B9">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كالزوجين وال</w:t>
      </w:r>
      <w:r w:rsidR="001549B9">
        <w:rPr>
          <w:rFonts w:ascii="Traditional Arabic" w:eastAsia="Calibri" w:hAnsi="Traditional Arabic" w:cs="Traditional Arabic" w:hint="cs"/>
          <w:sz w:val="40"/>
          <w:szCs w:val="40"/>
          <w:rtl/>
        </w:rPr>
        <w:t>وراث؛</w:t>
      </w:r>
      <w:r w:rsidRPr="00C406BC">
        <w:rPr>
          <w:rFonts w:ascii="Traditional Arabic" w:eastAsia="Calibri" w:hAnsi="Traditional Arabic" w:cs="Traditional Arabic"/>
          <w:sz w:val="40"/>
          <w:szCs w:val="40"/>
          <w:rtl/>
        </w:rPr>
        <w:t xml:space="preserve"> وذلك منعاً من تعكير صفو السلام في الأسرة، ومثل ذلك المانع الأدبي الذي يقوم في العلاقة بين </w:t>
      </w:r>
      <w:r w:rsidR="004750F2" w:rsidRPr="00C406BC">
        <w:rPr>
          <w:rFonts w:ascii="Traditional Arabic" w:eastAsia="Calibri" w:hAnsi="Traditional Arabic" w:cs="Traditional Arabic" w:hint="cs"/>
          <w:sz w:val="40"/>
          <w:szCs w:val="40"/>
          <w:rtl/>
        </w:rPr>
        <w:t>الأصول</w:t>
      </w:r>
      <w:r w:rsidR="004750F2">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والفروع أو بين الأصيل</w:t>
      </w:r>
      <w:r w:rsidR="001549B9">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والنائب</w:t>
      </w:r>
      <w:r w:rsidRPr="00C406BC">
        <w:rPr>
          <w:rFonts w:ascii="Traditional Arabic" w:eastAsia="Calibri" w:hAnsi="Traditional Arabic" w:cs="Traditional Arabic"/>
          <w:sz w:val="40"/>
          <w:szCs w:val="40"/>
        </w:rPr>
        <w:t>.</w:t>
      </w:r>
    </w:p>
    <w:p w14:paraId="062E41C5" w14:textId="37D1C2CB" w:rsidR="00286DB0" w:rsidRPr="00C406BC" w:rsidRDefault="00286DB0" w:rsidP="00C406BC">
      <w:pPr>
        <w:spacing w:after="240" w:line="360" w:lineRule="auto"/>
        <w:ind w:firstLine="720"/>
        <w:jc w:val="both"/>
        <w:rPr>
          <w:rFonts w:ascii="Traditional Arabic" w:eastAsia="Calibri" w:hAnsi="Traditional Arabic" w:cs="Traditional Arabic"/>
          <w:sz w:val="40"/>
          <w:szCs w:val="40"/>
        </w:rPr>
      </w:pPr>
      <w:r w:rsidRPr="00C406BC">
        <w:rPr>
          <w:rFonts w:ascii="Traditional Arabic" w:eastAsia="Calibri" w:hAnsi="Traditional Arabic" w:cs="Traditional Arabic"/>
          <w:sz w:val="40"/>
          <w:szCs w:val="40"/>
          <w:rtl/>
        </w:rPr>
        <w:lastRenderedPageBreak/>
        <w:t>أما الأسباب التي ترجع إلى ظروف خارجية</w:t>
      </w:r>
      <w:r w:rsidR="00492D4D">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فلا يمكن حصرها، ويطبق بشأنها القواعد التقليدية في القوانين الوضعية، فإذا تعذر على الدائن أن يطالب بحقه بسبب حرب</w:t>
      </w:r>
      <w:r w:rsidR="00492D4D">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أو غزو</w:t>
      </w:r>
      <w:r w:rsidR="00492D4D">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أو ثورة</w:t>
      </w:r>
      <w:r w:rsidR="00492D4D">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أو انقطاع المواصلات، أو غيبة منقطعة، أو جهل الدائن بحقه جهلاً مغتفراً</w:t>
      </w:r>
      <w:r w:rsidR="00492D4D">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ويلاحظ أن القانون الفرنسي قد نص في المادتين (2252، 2253) على الأسباب السابقة</w:t>
      </w:r>
      <w:r w:rsidR="00492D4D">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ومثله القانون المدني المصري القديم، لكنه لم يكن موفقاً إلى حد ما، مما حدا بالمنظم المصري إلى أن يعدل من حصر أسباب وقف التقادم</w:t>
      </w:r>
      <w:r w:rsidR="00492D4D">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فجاءت عبارته عامة شاملة فنص في المادة (282) من القانون المدني الحالي على أن</w:t>
      </w:r>
      <w:r w:rsidR="00492D4D">
        <w:rPr>
          <w:rFonts w:ascii="Traditional Arabic" w:eastAsia="Calibri" w:hAnsi="Traditional Arabic" w:cs="Traditional Arabic" w:hint="cs"/>
          <w:sz w:val="40"/>
          <w:szCs w:val="40"/>
          <w:rtl/>
        </w:rPr>
        <w:t xml:space="preserve">ه </w:t>
      </w:r>
      <w:r w:rsidRPr="00C406BC">
        <w:rPr>
          <w:rFonts w:ascii="Traditional Arabic" w:eastAsia="Calibri" w:hAnsi="Traditional Arabic" w:cs="Traditional Arabic"/>
          <w:sz w:val="40"/>
          <w:szCs w:val="40"/>
          <w:rtl/>
        </w:rPr>
        <w:t>لا يسري التقادم كلما وجد مانع يتعذر معه على الدائن أن يطالب بحقه، ولو كان المانع أدبياً لا يسري التقادم فيما بين الأصيل</w:t>
      </w:r>
      <w:r w:rsidR="00492D4D">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والنائب</w:t>
      </w:r>
      <w:r w:rsidRPr="00C406BC">
        <w:rPr>
          <w:rFonts w:ascii="Traditional Arabic" w:eastAsia="Calibri" w:hAnsi="Traditional Arabic" w:cs="Traditional Arabic"/>
          <w:sz w:val="40"/>
          <w:szCs w:val="40"/>
        </w:rPr>
        <w:t>".</w:t>
      </w:r>
      <w:r w:rsidRPr="00C406BC">
        <w:rPr>
          <w:rFonts w:ascii="Traditional Arabic" w:eastAsia="Calibri" w:hAnsi="Traditional Arabic" w:cs="Traditional Arabic"/>
          <w:sz w:val="40"/>
          <w:szCs w:val="40"/>
          <w:vertAlign w:val="superscript"/>
        </w:rPr>
        <w:footnoteReference w:id="63"/>
      </w:r>
    </w:p>
    <w:p w14:paraId="379DE52E" w14:textId="6F7C991F" w:rsidR="00286DB0" w:rsidRPr="00C406BC" w:rsidRDefault="00286DB0" w:rsidP="00C406BC">
      <w:pPr>
        <w:spacing w:after="240" w:line="360" w:lineRule="auto"/>
        <w:ind w:firstLine="720"/>
        <w:jc w:val="both"/>
        <w:rPr>
          <w:rFonts w:ascii="Traditional Arabic" w:eastAsia="Calibri" w:hAnsi="Traditional Arabic" w:cs="Traditional Arabic"/>
          <w:sz w:val="40"/>
          <w:szCs w:val="40"/>
        </w:rPr>
      </w:pPr>
      <w:r w:rsidRPr="00C406BC">
        <w:rPr>
          <w:rFonts w:ascii="Traditional Arabic" w:eastAsia="Calibri" w:hAnsi="Traditional Arabic" w:cs="Traditional Arabic"/>
          <w:sz w:val="40"/>
          <w:szCs w:val="40"/>
          <w:rtl/>
        </w:rPr>
        <w:t>أما على مستوى النظام السعودي، فإن ديوان المظالم أخذ بالعبارات العامة</w:t>
      </w:r>
      <w:r w:rsidR="00491B7F">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والشاملة مثل الظروف الطارئة، والكوارث الطبيعية، وكلما وجد مانع يتعذر معه المطالبة بالحق</w:t>
      </w:r>
      <w:r w:rsidR="00491B7F">
        <w:rPr>
          <w:rFonts w:ascii="Traditional Arabic" w:eastAsia="Calibri" w:hAnsi="Traditional Arabic" w:cs="Traditional Arabic" w:hint="cs"/>
          <w:sz w:val="40"/>
          <w:szCs w:val="40"/>
          <w:rtl/>
        </w:rPr>
        <w:t xml:space="preserve">، </w:t>
      </w:r>
      <w:r w:rsidRPr="00C406BC">
        <w:rPr>
          <w:rFonts w:ascii="Traditional Arabic" w:eastAsia="Calibri" w:hAnsi="Traditional Arabic" w:cs="Traditional Arabic"/>
          <w:sz w:val="40"/>
          <w:szCs w:val="40"/>
          <w:rtl/>
        </w:rPr>
        <w:t>كما أن المادة (64) من نظام الأوراق التجارية أقرت مبدأ انقطاع مواعيد تقديم الكمبيالة للقبول</w:t>
      </w:r>
      <w:r w:rsidR="000F73B1">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أو الوفاء</w:t>
      </w:r>
      <w:r w:rsidR="000F73B1">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ومثله مواعيد الاحتجاج، وذلك إذا حال حادث قهري لا يمكن التغلب عليه دون تقديم </w:t>
      </w:r>
      <w:r w:rsidRPr="00C406BC">
        <w:rPr>
          <w:rFonts w:ascii="Traditional Arabic" w:eastAsia="Calibri" w:hAnsi="Traditional Arabic" w:cs="Traditional Arabic"/>
          <w:sz w:val="40"/>
          <w:szCs w:val="40"/>
          <w:rtl/>
        </w:rPr>
        <w:lastRenderedPageBreak/>
        <w:t>الكمبيالة، ويمكن القياس على ذلك متى طرأت ظروف قاهرة</w:t>
      </w:r>
      <w:r w:rsidR="000F73B1">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أو أعذار شرعية تحول دون مطالبة الحامل للحق المثبت في الكمبيالة</w:t>
      </w:r>
      <w:r w:rsidRPr="00C406BC">
        <w:rPr>
          <w:rFonts w:ascii="Traditional Arabic" w:eastAsia="Calibri" w:hAnsi="Traditional Arabic" w:cs="Traditional Arabic"/>
          <w:sz w:val="40"/>
          <w:szCs w:val="40"/>
        </w:rPr>
        <w:t>.</w:t>
      </w:r>
    </w:p>
    <w:p w14:paraId="3F6DDB8B" w14:textId="5D32ABD1" w:rsidR="00286DB0" w:rsidRPr="00C406BC" w:rsidRDefault="000F73B1" w:rsidP="00C406BC">
      <w:pPr>
        <w:spacing w:after="240" w:line="360" w:lineRule="auto"/>
        <w:ind w:firstLine="720"/>
        <w:jc w:val="both"/>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t>إ</w:t>
      </w:r>
      <w:r w:rsidR="00286DB0" w:rsidRPr="00C406BC">
        <w:rPr>
          <w:rFonts w:ascii="Traditional Arabic" w:eastAsia="Calibri" w:hAnsi="Traditional Arabic" w:cs="Traditional Arabic"/>
          <w:sz w:val="40"/>
          <w:szCs w:val="40"/>
          <w:rtl/>
        </w:rPr>
        <w:t>ن معظم القوانين المدنية في بعض الدول العربية قد أفادت من أحكام الشريعة الإسلامية في هذا الموضوع متى وجد عذر شرعي تطبيقاً لما أخذت به الشريعة الإسلامية عندما قررت عدم سماع الدعوى على المُنْكِرْ، بعد تركها من غير عذر شرعي</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وأساس ذلك أن مدة التقادم</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والعذر الشرعي أمران متلازمان، وقد أخذ التقنين المدني فيهما معاً بأحكام الشريعة الإسلامية التي كانت تقضي بوقف التقادم متى تعذر على الدائن أن يقطع سريانه</w:t>
      </w:r>
      <w:r w:rsidR="00286DB0" w:rsidRPr="00C406BC">
        <w:rPr>
          <w:rFonts w:ascii="Traditional Arabic" w:eastAsia="Calibri" w:hAnsi="Traditional Arabic" w:cs="Traditional Arabic"/>
          <w:sz w:val="40"/>
          <w:szCs w:val="40"/>
        </w:rPr>
        <w:t>.</w:t>
      </w:r>
    </w:p>
    <w:p w14:paraId="748C486C" w14:textId="7BF65361" w:rsidR="00286DB0" w:rsidRPr="000F73B1" w:rsidRDefault="00286DB0" w:rsidP="00C406BC">
      <w:pPr>
        <w:spacing w:after="240" w:line="360" w:lineRule="auto"/>
        <w:rPr>
          <w:rFonts w:ascii="Traditional Arabic" w:eastAsia="Calibri" w:hAnsi="Traditional Arabic" w:cs="Traditional Arabic"/>
          <w:sz w:val="40"/>
          <w:szCs w:val="40"/>
        </w:rPr>
      </w:pPr>
      <w:r w:rsidRPr="000F73B1">
        <w:rPr>
          <w:rFonts w:ascii="Traditional Arabic" w:eastAsia="Calibri" w:hAnsi="Traditional Arabic" w:cs="Traditional Arabic"/>
          <w:sz w:val="40"/>
          <w:szCs w:val="40"/>
          <w:rtl/>
        </w:rPr>
        <w:t>الفرع الثاني: أثر وقف مدة عدم سماع الدعوى أو قطع سريانها</w:t>
      </w:r>
      <w:r w:rsidR="000F73B1">
        <w:rPr>
          <w:rFonts w:ascii="Traditional Arabic" w:eastAsia="Calibri" w:hAnsi="Traditional Arabic" w:cs="Traditional Arabic" w:hint="cs"/>
          <w:sz w:val="40"/>
          <w:szCs w:val="40"/>
          <w:rtl/>
        </w:rPr>
        <w:t>:</w:t>
      </w:r>
    </w:p>
    <w:p w14:paraId="13186B5E" w14:textId="308A76D1" w:rsidR="00286DB0" w:rsidRPr="00C406BC" w:rsidRDefault="00286DB0" w:rsidP="000F73B1">
      <w:pPr>
        <w:spacing w:after="240" w:line="360" w:lineRule="auto"/>
        <w:ind w:firstLine="720"/>
        <w:rPr>
          <w:rFonts w:ascii="Traditional Arabic" w:eastAsia="Calibri" w:hAnsi="Traditional Arabic" w:cs="Traditional Arabic"/>
          <w:sz w:val="40"/>
          <w:szCs w:val="40"/>
        </w:rPr>
      </w:pPr>
      <w:r w:rsidRPr="00C406BC">
        <w:rPr>
          <w:rFonts w:ascii="Traditional Arabic" w:eastAsia="Calibri" w:hAnsi="Traditional Arabic" w:cs="Traditional Arabic"/>
          <w:sz w:val="40"/>
          <w:szCs w:val="40"/>
          <w:rtl/>
        </w:rPr>
        <w:t>سبق أن ذكرنا أن انقطاع التقادم معناه حدوث فعل يوقف سريان التقادم مما يحمي حق المصلحة لصاحب الحق المهدد بالزوال بالتقادم</w:t>
      </w:r>
      <w:r w:rsidR="000F73B1">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w:t>
      </w:r>
      <w:r w:rsidR="000F73B1">
        <w:rPr>
          <w:rFonts w:ascii="Traditional Arabic" w:eastAsia="Calibri" w:hAnsi="Traditional Arabic" w:cs="Traditional Arabic" w:hint="cs"/>
          <w:sz w:val="40"/>
          <w:szCs w:val="40"/>
          <w:rtl/>
        </w:rPr>
        <w:t>و</w:t>
      </w:r>
      <w:r w:rsidRPr="00C406BC">
        <w:rPr>
          <w:rFonts w:ascii="Traditional Arabic" w:eastAsia="Calibri" w:hAnsi="Traditional Arabic" w:cs="Traditional Arabic"/>
          <w:sz w:val="40"/>
          <w:szCs w:val="40"/>
          <w:rtl/>
        </w:rPr>
        <w:t>حينئذ تكون المدة التي انقضت قبل انقطاعه كأنها لم تكن</w:t>
      </w:r>
      <w:r w:rsidR="000F73B1">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ولا تدخل في حساب مدة التقادم، بل يبدأ تقادم جديد يسري من وقت انتهاء الأثر المترتب على سبب الانقطاع</w:t>
      </w:r>
      <w:r w:rsidR="000F73B1">
        <w:rPr>
          <w:rFonts w:ascii="Traditional Arabic" w:eastAsia="Calibri" w:hAnsi="Traditional Arabic" w:cs="Traditional Arabic" w:hint="cs"/>
          <w:sz w:val="40"/>
          <w:szCs w:val="40"/>
          <w:rtl/>
        </w:rPr>
        <w:t xml:space="preserve">، </w:t>
      </w:r>
      <w:r w:rsidRPr="00C406BC">
        <w:rPr>
          <w:rFonts w:ascii="Traditional Arabic" w:eastAsia="Calibri" w:hAnsi="Traditional Arabic" w:cs="Traditional Arabic"/>
          <w:sz w:val="40"/>
          <w:szCs w:val="40"/>
          <w:rtl/>
        </w:rPr>
        <w:t>أما وقف التقادم</w:t>
      </w:r>
      <w:r w:rsidR="000F73B1">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فإنه يعني وقف سريان تقادم الالتزام الصرفي بعد أن كان قد بدأ، وعند ذلك لا تحسب المدة التي وقف فيها سريان التقادم، </w:t>
      </w:r>
      <w:r w:rsidRPr="00C406BC">
        <w:rPr>
          <w:rFonts w:ascii="Traditional Arabic" w:eastAsia="Calibri" w:hAnsi="Traditional Arabic" w:cs="Traditional Arabic"/>
          <w:sz w:val="40"/>
          <w:szCs w:val="40"/>
          <w:rtl/>
        </w:rPr>
        <w:lastRenderedPageBreak/>
        <w:t>وتحسب المدة التي سبقت والمدة التي تلت</w:t>
      </w:r>
      <w:r w:rsidR="000F73B1">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وهذا ما يختلف فيه انقطاع التقادم عن وقفه، فمتى انقطع التقادم زال أثره، وأصبحت المدة التي انقضت قبل انقطاعه كأن لم تكن، ولا يعتد بها في حساب التقادم الجديد الذي يلي التقادم المنقطع</w:t>
      </w:r>
      <w:r w:rsidR="000F73B1">
        <w:rPr>
          <w:rFonts w:ascii="Traditional Arabic" w:eastAsia="Calibri" w:hAnsi="Traditional Arabic" w:cs="Traditional Arabic" w:hint="cs"/>
          <w:sz w:val="40"/>
          <w:szCs w:val="40"/>
          <w:rtl/>
        </w:rPr>
        <w:t>، ف</w:t>
      </w:r>
      <w:r w:rsidRPr="00C406BC">
        <w:rPr>
          <w:rFonts w:ascii="Traditional Arabic" w:eastAsia="Calibri" w:hAnsi="Traditional Arabic" w:cs="Traditional Arabic"/>
          <w:sz w:val="40"/>
          <w:szCs w:val="40"/>
          <w:rtl/>
        </w:rPr>
        <w:t>إذا انقطع التقادم بدأ تقادم جديد يسري من وقت انتهاء الأثر المترتب على سبب الانقطاع، وتكون مدته هي مدة التقادم الأول</w:t>
      </w:r>
      <w:r w:rsidR="000F73B1">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وتنص معظم القوانين المدنية</w:t>
      </w:r>
      <w:r w:rsidR="000F73B1">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والتجارية على أنه بعد انقطاع التقادم الأول، ينشأ تقادم جديد، فقد يكون التقادم الجديد من طبيعة التقادم الأول، وقد يكون من طبيعة مغايرة</w:t>
      </w:r>
      <w:r w:rsidR="000F73B1">
        <w:rPr>
          <w:rFonts w:ascii="Traditional Arabic" w:eastAsia="Calibri" w:hAnsi="Traditional Arabic" w:cs="Traditional Arabic" w:hint="cs"/>
          <w:sz w:val="40"/>
          <w:szCs w:val="40"/>
          <w:rtl/>
        </w:rPr>
        <w:t xml:space="preserve">، </w:t>
      </w:r>
      <w:r w:rsidRPr="00C406BC">
        <w:rPr>
          <w:rFonts w:ascii="Traditional Arabic" w:eastAsia="Calibri" w:hAnsi="Traditional Arabic" w:cs="Traditional Arabic"/>
          <w:sz w:val="40"/>
          <w:szCs w:val="40"/>
          <w:rtl/>
        </w:rPr>
        <w:t xml:space="preserve"> ومن ثم فإن بدء هذا التقادم في السريان يختلف باختلاف السبب الذي قطع التقادم السابق</w:t>
      </w:r>
      <w:r w:rsidR="000F73B1">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فإذا انقطع التقادم الصرفي بإقامة دعوى الرجوع، بقي أثر الانقطاع قائماً طالما ظلت الدعوى مرفوعة، وهي الدعوى التي لا تنتهي بحكم</w:t>
      </w:r>
      <w:r w:rsidR="000F73B1">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والدعوى التي لا تنتهي بحكم هي الحالة التي ارتأى المنظم التجاري السعودي أن تمثل مركزاً وسطاً بين سكوت الحامل المطلق</w:t>
      </w:r>
      <w:r w:rsidR="000F73B1">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وعدم مطالبته بحقه، وبين الملاحقة التي تنتهي بصدور حكم في الموضوع</w:t>
      </w:r>
      <w:r w:rsidRPr="00C406BC">
        <w:rPr>
          <w:rFonts w:ascii="Traditional Arabic" w:eastAsia="Calibri" w:hAnsi="Traditional Arabic" w:cs="Traditional Arabic"/>
          <w:sz w:val="40"/>
          <w:szCs w:val="40"/>
        </w:rPr>
        <w:t>.</w:t>
      </w:r>
      <w:r w:rsidRPr="00C406BC">
        <w:rPr>
          <w:rFonts w:ascii="Traditional Arabic" w:eastAsia="Calibri" w:hAnsi="Traditional Arabic" w:cs="Traditional Arabic"/>
          <w:sz w:val="40"/>
          <w:szCs w:val="40"/>
          <w:vertAlign w:val="superscript"/>
        </w:rPr>
        <w:footnoteReference w:id="64"/>
      </w:r>
    </w:p>
    <w:p w14:paraId="2ADBBC08" w14:textId="65D2D1B1" w:rsidR="00286DB0" w:rsidRPr="00C406BC" w:rsidRDefault="00286DB0" w:rsidP="00C406BC">
      <w:pPr>
        <w:spacing w:after="240" w:line="360" w:lineRule="auto"/>
        <w:ind w:firstLine="720"/>
        <w:rPr>
          <w:rFonts w:ascii="Traditional Arabic" w:eastAsia="Calibri" w:hAnsi="Traditional Arabic" w:cs="Traditional Arabic"/>
          <w:sz w:val="40"/>
          <w:szCs w:val="40"/>
        </w:rPr>
      </w:pPr>
      <w:r w:rsidRPr="00C406BC">
        <w:rPr>
          <w:rFonts w:ascii="Traditional Arabic" w:eastAsia="Calibri" w:hAnsi="Traditional Arabic" w:cs="Traditional Arabic"/>
          <w:sz w:val="40"/>
          <w:szCs w:val="40"/>
          <w:rtl/>
        </w:rPr>
        <w:lastRenderedPageBreak/>
        <w:t>من جهة أخرى، إذا حكم في تلك الدعوى بحكم نهائي</w:t>
      </w:r>
      <w:r w:rsidR="000F73B1">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فإنه يقضى للحامل بطلباته، ويبدأ تقادم جديد في السريان يختلف في طبيعته عن التقادم السابق، وحينئذ تكون مدته مدة التقادم العادي</w:t>
      </w:r>
      <w:r w:rsidR="000F73B1">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حسب الشريعة الإسلامية</w:t>
      </w:r>
      <w:r w:rsidR="000F73B1">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ومثل ذلك يقال بالنسبة للتنبيه كسبب من أسباب انقطاع التقادم</w:t>
      </w:r>
      <w:r w:rsidR="000F73B1">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وما يترتب عليه من حجز يلي التنبيه</w:t>
      </w:r>
      <w:r w:rsidR="000F73B1">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لكن التقادم الجديد الذي يبدأ سريانه بعد انقطاع التقادم السابق يخضع لأحكام القواعد العامة للتقادم، ويبدأ سريان التقادم هذا من تاريخ صدور الحكم</w:t>
      </w:r>
      <w:r w:rsidR="000F73B1">
        <w:rPr>
          <w:rFonts w:ascii="Traditional Arabic" w:eastAsia="Calibri" w:hAnsi="Traditional Arabic" w:cs="Traditional Arabic" w:hint="cs"/>
          <w:sz w:val="40"/>
          <w:szCs w:val="40"/>
          <w:rtl/>
        </w:rPr>
        <w:t xml:space="preserve">، </w:t>
      </w:r>
      <w:r w:rsidRPr="00C406BC">
        <w:rPr>
          <w:rFonts w:ascii="Traditional Arabic" w:eastAsia="Calibri" w:hAnsi="Traditional Arabic" w:cs="Traditional Arabic"/>
          <w:sz w:val="40"/>
          <w:szCs w:val="40"/>
          <w:rtl/>
        </w:rPr>
        <w:t>ك</w:t>
      </w:r>
      <w:r w:rsidR="000F73B1">
        <w:rPr>
          <w:rFonts w:ascii="Traditional Arabic" w:eastAsia="Calibri" w:hAnsi="Traditional Arabic" w:cs="Traditional Arabic" w:hint="cs"/>
          <w:sz w:val="40"/>
          <w:szCs w:val="40"/>
          <w:rtl/>
        </w:rPr>
        <w:t>ذلك</w:t>
      </w:r>
      <w:r w:rsidRPr="00C406BC">
        <w:rPr>
          <w:rFonts w:ascii="Traditional Arabic" w:eastAsia="Calibri" w:hAnsi="Traditional Arabic" w:cs="Traditional Arabic"/>
          <w:sz w:val="40"/>
          <w:szCs w:val="40"/>
          <w:rtl/>
        </w:rPr>
        <w:t xml:space="preserve"> إذا كان سبب انقطاع التقادم دخول حامل الورقة التجارية في التفليس</w:t>
      </w:r>
      <w:r w:rsidR="000F73B1">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أو إقرار الدين بحق حامل الورقة في الدين الثابت بها، </w:t>
      </w:r>
      <w:r w:rsidR="000F73B1">
        <w:rPr>
          <w:rFonts w:ascii="Traditional Arabic" w:eastAsia="Calibri" w:hAnsi="Traditional Arabic" w:cs="Traditional Arabic" w:hint="cs"/>
          <w:sz w:val="40"/>
          <w:szCs w:val="40"/>
          <w:rtl/>
        </w:rPr>
        <w:t>ف</w:t>
      </w:r>
      <w:r w:rsidRPr="00C406BC">
        <w:rPr>
          <w:rFonts w:ascii="Traditional Arabic" w:eastAsia="Calibri" w:hAnsi="Traditional Arabic" w:cs="Traditional Arabic"/>
          <w:sz w:val="40"/>
          <w:szCs w:val="40"/>
          <w:rtl/>
        </w:rPr>
        <w:t>ينقطع التقادم، ويبقى أثره قائماً إلى أن ينتهي الأثر المترتب على تمسك حامل الورقة بحقه</w:t>
      </w:r>
      <w:r w:rsidR="000F73B1">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أو عقب صدور الإقرار من المدين</w:t>
      </w:r>
      <w:r w:rsidRPr="00C406BC">
        <w:rPr>
          <w:rFonts w:ascii="Traditional Arabic" w:eastAsia="Calibri" w:hAnsi="Traditional Arabic" w:cs="Traditional Arabic"/>
          <w:sz w:val="40"/>
          <w:szCs w:val="40"/>
        </w:rPr>
        <w:t>.</w:t>
      </w:r>
      <w:r w:rsidRPr="00C406BC">
        <w:rPr>
          <w:rFonts w:ascii="Traditional Arabic" w:eastAsia="Calibri" w:hAnsi="Traditional Arabic" w:cs="Traditional Arabic"/>
          <w:sz w:val="40"/>
          <w:szCs w:val="40"/>
          <w:vertAlign w:val="superscript"/>
        </w:rPr>
        <w:footnoteReference w:id="65"/>
      </w:r>
    </w:p>
    <w:p w14:paraId="2867342F" w14:textId="1AEDFFB9" w:rsidR="00286DB0" w:rsidRPr="00C406BC" w:rsidRDefault="000F73B1" w:rsidP="000F73B1">
      <w:pPr>
        <w:spacing w:after="240" w:line="360" w:lineRule="auto"/>
        <w:ind w:firstLine="720"/>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t xml:space="preserve">أقر </w:t>
      </w:r>
      <w:r w:rsidR="00286DB0" w:rsidRPr="00C406BC">
        <w:rPr>
          <w:rFonts w:ascii="Traditional Arabic" w:eastAsia="Calibri" w:hAnsi="Traditional Arabic" w:cs="Traditional Arabic"/>
          <w:sz w:val="40"/>
          <w:szCs w:val="40"/>
          <w:rtl/>
        </w:rPr>
        <w:t xml:space="preserve"> نظام الأوراق التجارية السعودي </w:t>
      </w:r>
      <w:r>
        <w:rPr>
          <w:rFonts w:ascii="Traditional Arabic" w:eastAsia="Calibri" w:hAnsi="Traditional Arabic" w:cs="Traditional Arabic" w:hint="cs"/>
          <w:sz w:val="40"/>
          <w:szCs w:val="40"/>
          <w:rtl/>
        </w:rPr>
        <w:t xml:space="preserve"> أنه </w:t>
      </w:r>
      <w:r w:rsidR="00286DB0" w:rsidRPr="00C406BC">
        <w:rPr>
          <w:rFonts w:ascii="Traditional Arabic" w:eastAsia="Calibri" w:hAnsi="Traditional Arabic" w:cs="Traditional Arabic"/>
          <w:sz w:val="40"/>
          <w:szCs w:val="40"/>
          <w:rtl/>
        </w:rPr>
        <w:t xml:space="preserve">إذا توقف سريان المدة اللازمة لعدم سماع الدعوى، وزال السبب الذي من أجله جرى توقفها، فإن المدة حينئذ تستأنف سريانها، ويضاف إليها المدة السابقة لإيقاف سريانها، فإذا بلغت هذه المدة بشقيها المدة اللازمة لعدم </w:t>
      </w:r>
      <w:r w:rsidR="00286DB0" w:rsidRPr="00C406BC">
        <w:rPr>
          <w:rFonts w:ascii="Traditional Arabic" w:eastAsia="Calibri" w:hAnsi="Traditional Arabic" w:cs="Traditional Arabic"/>
          <w:sz w:val="40"/>
          <w:szCs w:val="40"/>
          <w:rtl/>
        </w:rPr>
        <w:lastRenderedPageBreak/>
        <w:t>سماع الدعوى (ستة أشهر)</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فإن حامل الشيك حينئذ يفقد حقه </w:t>
      </w:r>
      <w:r w:rsidRPr="00C406BC">
        <w:rPr>
          <w:rFonts w:ascii="Traditional Arabic" w:eastAsia="Calibri" w:hAnsi="Traditional Arabic" w:cs="Traditional Arabic" w:hint="cs"/>
          <w:sz w:val="40"/>
          <w:szCs w:val="40"/>
          <w:rtl/>
        </w:rPr>
        <w:t>الناشئ</w:t>
      </w:r>
      <w:r w:rsidR="00286DB0" w:rsidRPr="00C406BC">
        <w:rPr>
          <w:rFonts w:ascii="Traditional Arabic" w:eastAsia="Calibri" w:hAnsi="Traditional Arabic" w:cs="Traditional Arabic"/>
          <w:sz w:val="40"/>
          <w:szCs w:val="40"/>
          <w:rtl/>
        </w:rPr>
        <w:t xml:space="preserve"> عن تلك الورقة، كما يفقد حق الدعوى</w:t>
      </w:r>
      <w:r>
        <w:rPr>
          <w:rFonts w:ascii="Traditional Arabic" w:eastAsia="Calibri" w:hAnsi="Traditional Arabic" w:cs="Traditional Arabic" w:hint="cs"/>
          <w:sz w:val="40"/>
          <w:szCs w:val="40"/>
          <w:rtl/>
        </w:rPr>
        <w:t xml:space="preserve">، </w:t>
      </w:r>
      <w:r w:rsidR="00286DB0" w:rsidRPr="00C406BC">
        <w:rPr>
          <w:rFonts w:ascii="Traditional Arabic" w:eastAsia="Calibri" w:hAnsi="Traditional Arabic" w:cs="Traditional Arabic"/>
          <w:sz w:val="40"/>
          <w:szCs w:val="40"/>
          <w:rtl/>
        </w:rPr>
        <w:t>أما بالنسبة لقطع مدة عدم سماع الدعوى، فإن</w:t>
      </w:r>
      <w:r>
        <w:rPr>
          <w:rFonts w:ascii="Traditional Arabic" w:eastAsia="Calibri" w:hAnsi="Traditional Arabic" w:cs="Traditional Arabic" w:hint="cs"/>
          <w:sz w:val="40"/>
          <w:szCs w:val="40"/>
          <w:rtl/>
        </w:rPr>
        <w:t>ه</w:t>
      </w:r>
      <w:r w:rsidR="00286DB0" w:rsidRPr="00C406BC">
        <w:rPr>
          <w:rFonts w:ascii="Traditional Arabic" w:eastAsia="Calibri" w:hAnsi="Traditional Arabic" w:cs="Traditional Arabic"/>
          <w:sz w:val="40"/>
          <w:szCs w:val="40"/>
          <w:rtl/>
        </w:rPr>
        <w:t xml:space="preserve"> يترتب عليه زوال المدة السابقة التي تحققت قبل الإجراء القاطع، والبدء باحتساب مدة جديدة مماثلة للمدة السابقة، إعمالاً للمادة (85) والمادة (117) من نظام الأوراق التجارية السعودي</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w:t>
      </w:r>
      <w:r>
        <w:rPr>
          <w:rFonts w:ascii="Traditional Arabic" w:eastAsia="Calibri" w:hAnsi="Traditional Arabic" w:cs="Traditional Arabic" w:hint="cs"/>
          <w:sz w:val="40"/>
          <w:szCs w:val="40"/>
          <w:rtl/>
        </w:rPr>
        <w:t>و</w:t>
      </w:r>
      <w:r w:rsidR="00286DB0" w:rsidRPr="00C406BC">
        <w:rPr>
          <w:rFonts w:ascii="Traditional Arabic" w:eastAsia="Calibri" w:hAnsi="Traditional Arabic" w:cs="Traditional Arabic"/>
          <w:sz w:val="40"/>
          <w:szCs w:val="40"/>
          <w:rtl/>
        </w:rPr>
        <w:t>تأسيساً على ما تقدم، فإن القاعدة العامة في انقطاع التقادم هي بدء سريان تقادم جديد من ذات التقادم السابق، ويخضع لنفس المدة (ستة أشهر)</w:t>
      </w:r>
      <w:r w:rsidR="0048427E">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لكن بعض القوانين المدنية</w:t>
      </w:r>
      <w:r w:rsidR="0048427E">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والتجارية تستثني من ذلك حالتين</w:t>
      </w:r>
      <w:r w:rsidR="0048427E">
        <w:rPr>
          <w:rFonts w:ascii="Traditional Arabic" w:eastAsia="Calibri" w:hAnsi="Traditional Arabic" w:cs="Traditional Arabic" w:hint="cs"/>
          <w:sz w:val="40"/>
          <w:szCs w:val="40"/>
          <w:rtl/>
        </w:rPr>
        <w:t xml:space="preserve"> هما</w:t>
      </w:r>
      <w:r w:rsidR="00286DB0" w:rsidRPr="00C406BC">
        <w:rPr>
          <w:rFonts w:ascii="Traditional Arabic" w:eastAsia="Calibri" w:hAnsi="Traditional Arabic" w:cs="Traditional Arabic"/>
          <w:sz w:val="40"/>
          <w:szCs w:val="40"/>
        </w:rPr>
        <w:t>:</w:t>
      </w:r>
      <w:r w:rsidR="00286DB0" w:rsidRPr="00C406BC">
        <w:rPr>
          <w:rFonts w:ascii="Traditional Arabic" w:eastAsia="Calibri" w:hAnsi="Traditional Arabic" w:cs="Traditional Arabic"/>
          <w:sz w:val="40"/>
          <w:szCs w:val="40"/>
          <w:vertAlign w:val="superscript"/>
        </w:rPr>
        <w:footnoteReference w:id="66"/>
      </w:r>
    </w:p>
    <w:p w14:paraId="1A49AB3F" w14:textId="1C55CDBD" w:rsidR="00286DB0" w:rsidRPr="00C406BC" w:rsidRDefault="0048427E" w:rsidP="0048427E">
      <w:pPr>
        <w:spacing w:after="240" w:line="360" w:lineRule="auto"/>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t xml:space="preserve">الأولى: </w:t>
      </w:r>
      <w:r w:rsidR="00286DB0" w:rsidRPr="00C406BC">
        <w:rPr>
          <w:rFonts w:ascii="Traditional Arabic" w:eastAsia="Calibri" w:hAnsi="Traditional Arabic" w:cs="Traditional Arabic"/>
          <w:sz w:val="40"/>
          <w:szCs w:val="40"/>
          <w:rtl/>
        </w:rPr>
        <w:t xml:space="preserve">صدور حكم في دعوى الرجوع يقضي بإلزام المدين المدعى عليه بأداء قيمة الورقة، إذ السند </w:t>
      </w:r>
      <w:r w:rsidR="004750F2" w:rsidRPr="00C406BC">
        <w:rPr>
          <w:rFonts w:ascii="Traditional Arabic" w:eastAsia="Calibri" w:hAnsi="Traditional Arabic" w:cs="Traditional Arabic" w:hint="cs"/>
          <w:sz w:val="40"/>
          <w:szCs w:val="40"/>
          <w:rtl/>
        </w:rPr>
        <w:t>الملزم هو</w:t>
      </w:r>
      <w:r w:rsidR="00286DB0" w:rsidRPr="00C406BC">
        <w:rPr>
          <w:rFonts w:ascii="Traditional Arabic" w:eastAsia="Calibri" w:hAnsi="Traditional Arabic" w:cs="Traditional Arabic"/>
          <w:sz w:val="40"/>
          <w:szCs w:val="40"/>
          <w:rtl/>
        </w:rPr>
        <w:t xml:space="preserve"> السند التنفيذي</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لا الورقة التجارية، وبالتالي فإن التقادم الجديد يخضع للقواعد العامة في التقادم</w:t>
      </w:r>
      <w:r w:rsidR="00286DB0" w:rsidRPr="00C406BC">
        <w:rPr>
          <w:rFonts w:ascii="Traditional Arabic" w:eastAsia="Calibri" w:hAnsi="Traditional Arabic" w:cs="Traditional Arabic"/>
          <w:sz w:val="40"/>
          <w:szCs w:val="40"/>
        </w:rPr>
        <w:t>.</w:t>
      </w:r>
    </w:p>
    <w:p w14:paraId="173B3DE5" w14:textId="6E1456A8" w:rsidR="00286DB0" w:rsidRPr="00C406BC" w:rsidRDefault="004750F2" w:rsidP="0048427E">
      <w:pPr>
        <w:spacing w:after="240" w:line="360" w:lineRule="auto"/>
        <w:rPr>
          <w:rFonts w:ascii="Traditional Arabic" w:eastAsia="Calibri" w:hAnsi="Traditional Arabic" w:cs="Traditional Arabic"/>
          <w:sz w:val="40"/>
          <w:szCs w:val="40"/>
        </w:rPr>
      </w:pPr>
      <w:r>
        <w:rPr>
          <w:rFonts w:ascii="Traditional Arabic" w:eastAsia="Calibri" w:hAnsi="Traditional Arabic" w:cs="Traditional Arabic" w:hint="cs"/>
          <w:sz w:val="40"/>
          <w:szCs w:val="40"/>
          <w:rtl/>
        </w:rPr>
        <w:lastRenderedPageBreak/>
        <w:t>الثانية:</w:t>
      </w:r>
      <w:r w:rsidRPr="00C406BC">
        <w:rPr>
          <w:rFonts w:ascii="Traditional Arabic" w:eastAsia="Calibri" w:hAnsi="Traditional Arabic" w:cs="Traditional Arabic" w:hint="cs"/>
          <w:sz w:val="40"/>
          <w:szCs w:val="40"/>
          <w:rtl/>
        </w:rPr>
        <w:t xml:space="preserve"> إقرا</w:t>
      </w:r>
      <w:r w:rsidRPr="00C406BC">
        <w:rPr>
          <w:rFonts w:ascii="Traditional Arabic" w:eastAsia="Calibri" w:hAnsi="Traditional Arabic" w:cs="Traditional Arabic" w:hint="eastAsia"/>
          <w:sz w:val="40"/>
          <w:szCs w:val="40"/>
          <w:rtl/>
        </w:rPr>
        <w:t>ر</w:t>
      </w:r>
      <w:r w:rsidR="00286DB0" w:rsidRPr="00C406BC">
        <w:rPr>
          <w:rFonts w:ascii="Traditional Arabic" w:eastAsia="Calibri" w:hAnsi="Traditional Arabic" w:cs="Traditional Arabic"/>
          <w:sz w:val="40"/>
          <w:szCs w:val="40"/>
          <w:rtl/>
        </w:rPr>
        <w:t xml:space="preserve"> المدين بالدين في ورقة مستقلة إقراراً كافياً بذاته</w:t>
      </w:r>
      <w:r w:rsidR="0048427E">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ومستقلاً تماماً عن الورقة التجارية، وعند ذلك يبدأ تقادم جديد من تاريخ الإقرار</w:t>
      </w:r>
      <w:r w:rsidR="0048427E">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ويخضع للقواعد العامة في </w:t>
      </w:r>
      <w:r w:rsidR="0048427E" w:rsidRPr="00C406BC">
        <w:rPr>
          <w:rFonts w:ascii="Traditional Arabic" w:eastAsia="Calibri" w:hAnsi="Traditional Arabic" w:cs="Traditional Arabic" w:hint="cs"/>
          <w:sz w:val="40"/>
          <w:szCs w:val="40"/>
          <w:rtl/>
        </w:rPr>
        <w:t>التقاد</w:t>
      </w:r>
      <w:r w:rsidR="0048427E" w:rsidRPr="00C406BC">
        <w:rPr>
          <w:rFonts w:ascii="Traditional Arabic" w:eastAsia="Calibri" w:hAnsi="Traditional Arabic" w:cs="Traditional Arabic" w:hint="eastAsia"/>
          <w:sz w:val="40"/>
          <w:szCs w:val="40"/>
          <w:rtl/>
        </w:rPr>
        <w:t>م</w:t>
      </w:r>
      <w:r w:rsidR="0048427E">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لأن الإقرار الجديد أضحى سنداً مستقلاً بحد ذاته</w:t>
      </w:r>
      <w:r w:rsidR="00286DB0" w:rsidRPr="00C406BC">
        <w:rPr>
          <w:rFonts w:ascii="Traditional Arabic" w:eastAsia="Calibri" w:hAnsi="Traditional Arabic" w:cs="Traditional Arabic"/>
          <w:sz w:val="40"/>
          <w:szCs w:val="40"/>
        </w:rPr>
        <w:t>.</w:t>
      </w:r>
    </w:p>
    <w:p w14:paraId="56C241E6" w14:textId="28A5CAE3" w:rsidR="00286DB0" w:rsidRPr="00C406BC" w:rsidRDefault="0048427E" w:rsidP="00C406BC">
      <w:pPr>
        <w:spacing w:after="240" w:line="360" w:lineRule="auto"/>
        <w:ind w:firstLine="720"/>
        <w:rPr>
          <w:rFonts w:ascii="Traditional Arabic" w:eastAsia="Calibri" w:hAnsi="Traditional Arabic" w:cs="Traditional Arabic"/>
          <w:sz w:val="40"/>
          <w:szCs w:val="40"/>
          <w:rtl/>
        </w:rPr>
      </w:pPr>
      <w:r>
        <w:rPr>
          <w:rFonts w:ascii="Traditional Arabic" w:eastAsia="Calibri" w:hAnsi="Traditional Arabic" w:cs="Traditional Arabic" w:hint="cs"/>
          <w:sz w:val="40"/>
          <w:szCs w:val="40"/>
          <w:rtl/>
        </w:rPr>
        <w:t xml:space="preserve">إن </w:t>
      </w:r>
      <w:r w:rsidR="00286DB0" w:rsidRPr="00C406BC">
        <w:rPr>
          <w:rFonts w:ascii="Traditional Arabic" w:eastAsia="Calibri" w:hAnsi="Traditional Arabic" w:cs="Traditional Arabic"/>
          <w:sz w:val="40"/>
          <w:szCs w:val="40"/>
          <w:rtl/>
        </w:rPr>
        <w:t>هذه الحالات التي تعرضت لها معظم القوانين المدنية</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والتجارية هي ما تتفق مع أحكام الشريعة الإسلامية، وقد أشار المنظم السعودي إليها في صلب نظام الأوراق التجارية</w:t>
      </w:r>
      <w:r w:rsidR="00286DB0" w:rsidRPr="00C406BC">
        <w:rPr>
          <w:rFonts w:ascii="Traditional Arabic" w:eastAsia="Calibri" w:hAnsi="Traditional Arabic" w:cs="Traditional Arabic"/>
          <w:sz w:val="40"/>
          <w:szCs w:val="40"/>
        </w:rPr>
        <w:t>.</w:t>
      </w:r>
    </w:p>
    <w:p w14:paraId="14938A00" w14:textId="77777777" w:rsidR="00C406BC" w:rsidRPr="00C406BC" w:rsidRDefault="00C406BC" w:rsidP="00C406BC">
      <w:pPr>
        <w:spacing w:after="240" w:line="360" w:lineRule="auto"/>
        <w:ind w:firstLine="720"/>
        <w:rPr>
          <w:rFonts w:ascii="Traditional Arabic" w:eastAsia="Calibri" w:hAnsi="Traditional Arabic" w:cs="Traditional Arabic"/>
          <w:sz w:val="40"/>
          <w:szCs w:val="40"/>
          <w:rtl/>
        </w:rPr>
      </w:pPr>
    </w:p>
    <w:p w14:paraId="7B21E069" w14:textId="77777777" w:rsidR="00C406BC" w:rsidRPr="00C406BC" w:rsidRDefault="00C406BC" w:rsidP="00C406BC">
      <w:pPr>
        <w:spacing w:after="240" w:line="360" w:lineRule="auto"/>
        <w:ind w:firstLine="720"/>
        <w:rPr>
          <w:rFonts w:ascii="Traditional Arabic" w:eastAsia="Calibri" w:hAnsi="Traditional Arabic" w:cs="Traditional Arabic"/>
          <w:sz w:val="40"/>
          <w:szCs w:val="40"/>
          <w:rtl/>
        </w:rPr>
      </w:pPr>
    </w:p>
    <w:p w14:paraId="39B17496" w14:textId="77777777" w:rsidR="00C406BC" w:rsidRPr="00C406BC" w:rsidRDefault="00C406BC" w:rsidP="00C406BC">
      <w:pPr>
        <w:spacing w:after="240" w:line="360" w:lineRule="auto"/>
        <w:ind w:firstLine="720"/>
        <w:rPr>
          <w:rFonts w:ascii="Traditional Arabic" w:eastAsia="Calibri" w:hAnsi="Traditional Arabic" w:cs="Traditional Arabic"/>
          <w:sz w:val="40"/>
          <w:szCs w:val="40"/>
          <w:rtl/>
        </w:rPr>
      </w:pPr>
    </w:p>
    <w:p w14:paraId="67D2812C" w14:textId="77777777" w:rsidR="00C406BC" w:rsidRPr="00C406BC" w:rsidRDefault="00C406BC" w:rsidP="00C406BC">
      <w:pPr>
        <w:spacing w:after="240" w:line="360" w:lineRule="auto"/>
        <w:ind w:firstLine="720"/>
        <w:rPr>
          <w:rFonts w:ascii="Traditional Arabic" w:eastAsia="Calibri" w:hAnsi="Traditional Arabic" w:cs="Traditional Arabic"/>
          <w:sz w:val="40"/>
          <w:szCs w:val="40"/>
          <w:rtl/>
        </w:rPr>
      </w:pPr>
    </w:p>
    <w:p w14:paraId="7566E7DF" w14:textId="02E1BEA6" w:rsidR="00286DB0" w:rsidRPr="00C406BC" w:rsidRDefault="00286DB0" w:rsidP="00C406BC">
      <w:pPr>
        <w:pStyle w:val="1"/>
        <w:spacing w:line="360" w:lineRule="auto"/>
        <w:ind w:firstLine="720"/>
        <w:rPr>
          <w:rFonts w:ascii="Traditional Arabic" w:eastAsia="Calibri" w:hAnsi="Traditional Arabic" w:cs="Traditional Arabic"/>
          <w:b/>
          <w:bCs/>
          <w:color w:val="auto"/>
          <w:sz w:val="40"/>
          <w:szCs w:val="40"/>
        </w:rPr>
      </w:pPr>
      <w:bookmarkStart w:id="49" w:name="_Toc168891655"/>
      <w:r w:rsidRPr="00C406BC">
        <w:rPr>
          <w:rFonts w:ascii="Traditional Arabic" w:eastAsia="Calibri" w:hAnsi="Traditional Arabic" w:cs="Traditional Arabic"/>
          <w:b/>
          <w:bCs/>
          <w:color w:val="auto"/>
          <w:sz w:val="40"/>
          <w:szCs w:val="40"/>
        </w:rPr>
        <w:lastRenderedPageBreak/>
        <w:t>المطلب الثالث: آثار التقادم على العدالة</w:t>
      </w:r>
      <w:r w:rsidR="005B5898">
        <w:rPr>
          <w:rFonts w:ascii="Traditional Arabic" w:eastAsia="Calibri" w:hAnsi="Traditional Arabic" w:cs="Traditional Arabic" w:hint="cs"/>
          <w:b/>
          <w:bCs/>
          <w:color w:val="auto"/>
          <w:sz w:val="40"/>
          <w:szCs w:val="40"/>
        </w:rPr>
        <w:t>،</w:t>
      </w:r>
      <w:r w:rsidRPr="00C406BC">
        <w:rPr>
          <w:rFonts w:ascii="Traditional Arabic" w:eastAsia="Calibri" w:hAnsi="Traditional Arabic" w:cs="Traditional Arabic"/>
          <w:b/>
          <w:bCs/>
          <w:color w:val="auto"/>
          <w:sz w:val="40"/>
          <w:szCs w:val="40"/>
        </w:rPr>
        <w:t xml:space="preserve"> والاقتصاد في المملكة العربية السعودية</w:t>
      </w:r>
      <w:bookmarkEnd w:id="49"/>
      <w:r w:rsidR="004750F2">
        <w:rPr>
          <w:rFonts w:ascii="Traditional Arabic" w:eastAsia="Calibri" w:hAnsi="Traditional Arabic" w:cs="Traditional Arabic" w:hint="cs"/>
          <w:b/>
          <w:bCs/>
          <w:color w:val="auto"/>
          <w:sz w:val="40"/>
          <w:szCs w:val="40"/>
        </w:rPr>
        <w:t>:</w:t>
      </w:r>
    </w:p>
    <w:p w14:paraId="07DA559E" w14:textId="248CDE9F" w:rsidR="00286DB0" w:rsidRPr="00C406BC" w:rsidRDefault="00594ACB" w:rsidP="00C406BC">
      <w:pPr>
        <w:spacing w:after="240" w:line="360" w:lineRule="auto"/>
        <w:ind w:firstLine="720"/>
        <w:rPr>
          <w:rFonts w:ascii="Traditional Arabic" w:eastAsia="Calibri" w:hAnsi="Traditional Arabic" w:cs="Traditional Arabic"/>
          <w:sz w:val="40"/>
          <w:szCs w:val="40"/>
          <w:rtl/>
        </w:rPr>
      </w:pPr>
      <w:r>
        <w:rPr>
          <w:rFonts w:ascii="Traditional Arabic" w:eastAsia="Calibri" w:hAnsi="Traditional Arabic" w:cs="Traditional Arabic" w:hint="cs"/>
          <w:sz w:val="40"/>
          <w:szCs w:val="40"/>
          <w:rtl/>
        </w:rPr>
        <w:t xml:space="preserve">تعتمد </w:t>
      </w:r>
      <w:r w:rsidR="00286DB0" w:rsidRPr="00C406BC">
        <w:rPr>
          <w:rFonts w:ascii="Traditional Arabic" w:eastAsia="Calibri" w:hAnsi="Traditional Arabic" w:cs="Traditional Arabic"/>
          <w:sz w:val="40"/>
          <w:szCs w:val="40"/>
          <w:rtl/>
        </w:rPr>
        <w:t>تأثيرات التقادم على العد</w:t>
      </w:r>
      <w:r>
        <w:rPr>
          <w:rFonts w:ascii="Traditional Arabic" w:eastAsia="Calibri" w:hAnsi="Traditional Arabic" w:cs="Traditional Arabic" w:hint="cs"/>
          <w:sz w:val="40"/>
          <w:szCs w:val="40"/>
          <w:rtl/>
        </w:rPr>
        <w:t xml:space="preserve">ل، </w:t>
      </w:r>
      <w:r w:rsidR="00286DB0" w:rsidRPr="00C406BC">
        <w:rPr>
          <w:rFonts w:ascii="Traditional Arabic" w:eastAsia="Calibri" w:hAnsi="Traditional Arabic" w:cs="Traditional Arabic"/>
          <w:sz w:val="40"/>
          <w:szCs w:val="40"/>
          <w:rtl/>
        </w:rPr>
        <w:t>والاقتصاد في المملكة العربية السعودية على السياق القانوني</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والاقتصادي الخاص بكل قضية</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w:t>
      </w:r>
      <w:r>
        <w:rPr>
          <w:rFonts w:ascii="Traditional Arabic" w:eastAsia="Calibri" w:hAnsi="Traditional Arabic" w:cs="Traditional Arabic" w:hint="cs"/>
          <w:sz w:val="40"/>
          <w:szCs w:val="40"/>
          <w:rtl/>
        </w:rPr>
        <w:t>و</w:t>
      </w:r>
      <w:r w:rsidR="00286DB0" w:rsidRPr="00C406BC">
        <w:rPr>
          <w:rFonts w:ascii="Traditional Arabic" w:eastAsia="Calibri" w:hAnsi="Traditional Arabic" w:cs="Traditional Arabic"/>
          <w:sz w:val="40"/>
          <w:szCs w:val="40"/>
          <w:rtl/>
        </w:rPr>
        <w:t>فيما يلي بعض الآثار الرئيسية</w:t>
      </w:r>
      <w:r w:rsidR="00286DB0" w:rsidRPr="00C406BC">
        <w:rPr>
          <w:rFonts w:ascii="Traditional Arabic" w:eastAsia="Calibri" w:hAnsi="Traditional Arabic" w:cs="Traditional Arabic"/>
          <w:sz w:val="40"/>
          <w:szCs w:val="40"/>
          <w:vertAlign w:val="superscript"/>
        </w:rPr>
        <w:footnoteReference w:id="67"/>
      </w:r>
    </w:p>
    <w:p w14:paraId="5E134EC3" w14:textId="3AEA8C0B" w:rsidR="00286DB0" w:rsidRPr="00C406BC" w:rsidRDefault="00286DB0" w:rsidP="00C406BC">
      <w:pPr>
        <w:spacing w:after="240" w:line="360" w:lineRule="auto"/>
        <w:ind w:firstLine="720"/>
        <w:rPr>
          <w:rFonts w:ascii="Traditional Arabic" w:eastAsia="Calibri" w:hAnsi="Traditional Arabic" w:cs="Traditional Arabic"/>
          <w:sz w:val="40"/>
          <w:szCs w:val="40"/>
        </w:rPr>
      </w:pPr>
      <w:r w:rsidRPr="00C406BC">
        <w:rPr>
          <w:rFonts w:ascii="Traditional Arabic" w:eastAsia="Calibri" w:hAnsi="Traditional Arabic" w:cs="Traditional Arabic"/>
          <w:sz w:val="40"/>
          <w:szCs w:val="40"/>
          <w:rtl/>
        </w:rPr>
        <w:t>أولاً</w:t>
      </w:r>
      <w:r w:rsidR="004750F2">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فيما يتعلق ب</w:t>
      </w:r>
      <w:r w:rsidR="00594ACB">
        <w:rPr>
          <w:rFonts w:ascii="Traditional Arabic" w:eastAsia="Calibri" w:hAnsi="Traditional Arabic" w:cs="Traditional Arabic" w:hint="cs"/>
          <w:sz w:val="40"/>
          <w:szCs w:val="40"/>
          <w:rtl/>
        </w:rPr>
        <w:t xml:space="preserve">إقامة </w:t>
      </w:r>
      <w:r w:rsidRPr="00C406BC">
        <w:rPr>
          <w:rFonts w:ascii="Traditional Arabic" w:eastAsia="Calibri" w:hAnsi="Traditional Arabic" w:cs="Traditional Arabic"/>
          <w:sz w:val="40"/>
          <w:szCs w:val="40"/>
          <w:rtl/>
        </w:rPr>
        <w:t>العد</w:t>
      </w:r>
      <w:r w:rsidR="00594ACB">
        <w:rPr>
          <w:rFonts w:ascii="Traditional Arabic" w:eastAsia="Calibri" w:hAnsi="Traditional Arabic" w:cs="Traditional Arabic" w:hint="cs"/>
          <w:sz w:val="40"/>
          <w:szCs w:val="40"/>
          <w:rtl/>
        </w:rPr>
        <w:t>ل</w:t>
      </w:r>
      <w:r w:rsidRPr="00C406BC">
        <w:rPr>
          <w:rFonts w:ascii="Traditional Arabic" w:eastAsia="Calibri" w:hAnsi="Traditional Arabic" w:cs="Traditional Arabic"/>
          <w:sz w:val="40"/>
          <w:szCs w:val="40"/>
          <w:rtl/>
        </w:rPr>
        <w:t xml:space="preserve">، </w:t>
      </w:r>
      <w:r w:rsidR="00594ACB">
        <w:rPr>
          <w:rFonts w:ascii="Traditional Arabic" w:eastAsia="Calibri" w:hAnsi="Traditional Arabic" w:cs="Traditional Arabic" w:hint="cs"/>
          <w:sz w:val="40"/>
          <w:szCs w:val="40"/>
          <w:rtl/>
        </w:rPr>
        <w:t>ف</w:t>
      </w:r>
      <w:r w:rsidRPr="00C406BC">
        <w:rPr>
          <w:rFonts w:ascii="Traditional Arabic" w:eastAsia="Calibri" w:hAnsi="Traditional Arabic" w:cs="Traditional Arabic"/>
          <w:sz w:val="40"/>
          <w:szCs w:val="40"/>
          <w:rtl/>
        </w:rPr>
        <w:t xml:space="preserve">قد يؤدي التقادم في القضايا إلى تأخير تحقيق </w:t>
      </w:r>
      <w:r w:rsidR="00594ACB">
        <w:rPr>
          <w:rFonts w:ascii="Traditional Arabic" w:eastAsia="Calibri" w:hAnsi="Traditional Arabic" w:cs="Traditional Arabic" w:hint="cs"/>
          <w:sz w:val="40"/>
          <w:szCs w:val="40"/>
          <w:rtl/>
        </w:rPr>
        <w:t>العدل؛</w:t>
      </w:r>
      <w:r w:rsidRPr="00C406BC">
        <w:rPr>
          <w:rFonts w:ascii="Traditional Arabic" w:eastAsia="Calibri" w:hAnsi="Traditional Arabic" w:cs="Traditional Arabic"/>
          <w:sz w:val="40"/>
          <w:szCs w:val="40"/>
          <w:rtl/>
        </w:rPr>
        <w:t xml:space="preserve"> فعندما ينتهي الوقت المحدد لرفع الدعوى</w:t>
      </w:r>
      <w:r w:rsidR="00594ACB">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أو تقديم الشكوى، قد يجد الأشخاص الضحايا أنفسهم غير قادرين على الحصول على العد</w:t>
      </w:r>
      <w:r w:rsidR="00594ACB">
        <w:rPr>
          <w:rFonts w:ascii="Traditional Arabic" w:eastAsia="Calibri" w:hAnsi="Traditional Arabic" w:cs="Traditional Arabic" w:hint="cs"/>
          <w:sz w:val="40"/>
          <w:szCs w:val="40"/>
          <w:rtl/>
        </w:rPr>
        <w:t>ل</w:t>
      </w:r>
      <w:r w:rsidRPr="00C406BC">
        <w:rPr>
          <w:rFonts w:ascii="Traditional Arabic" w:eastAsia="Calibri" w:hAnsi="Traditional Arabic" w:cs="Traditional Arabic"/>
          <w:sz w:val="40"/>
          <w:szCs w:val="40"/>
          <w:rtl/>
        </w:rPr>
        <w:t xml:space="preserve"> المنشودة</w:t>
      </w:r>
      <w:r w:rsidR="00594ACB">
        <w:rPr>
          <w:rFonts w:ascii="Traditional Arabic" w:eastAsia="Calibri" w:hAnsi="Traditional Arabic" w:cs="Traditional Arabic" w:hint="cs"/>
          <w:sz w:val="40"/>
          <w:szCs w:val="40"/>
          <w:rtl/>
        </w:rPr>
        <w:t>، و</w:t>
      </w:r>
      <w:r w:rsidRPr="00C406BC">
        <w:rPr>
          <w:rFonts w:ascii="Traditional Arabic" w:eastAsia="Calibri" w:hAnsi="Traditional Arabic" w:cs="Traditional Arabic"/>
          <w:sz w:val="40"/>
          <w:szCs w:val="40"/>
          <w:rtl/>
        </w:rPr>
        <w:t>هذا ينطبق بشكل خاص على ال</w:t>
      </w:r>
      <w:r w:rsidR="00594ACB">
        <w:rPr>
          <w:rFonts w:ascii="Traditional Arabic" w:eastAsia="Calibri" w:hAnsi="Traditional Arabic" w:cs="Traditional Arabic" w:hint="cs"/>
          <w:sz w:val="40"/>
          <w:szCs w:val="40"/>
          <w:rtl/>
        </w:rPr>
        <w:t>دعاوى</w:t>
      </w:r>
      <w:r w:rsidRPr="00C406BC">
        <w:rPr>
          <w:rFonts w:ascii="Traditional Arabic" w:eastAsia="Calibri" w:hAnsi="Traditional Arabic" w:cs="Traditional Arabic"/>
          <w:sz w:val="40"/>
          <w:szCs w:val="40"/>
          <w:rtl/>
        </w:rPr>
        <w:t xml:space="preserve"> الجنائية</w:t>
      </w:r>
      <w:r w:rsidR="00594ACB">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أو النزاعات المدنية التي يتم حلها عبر القضاء</w:t>
      </w:r>
      <w:r w:rsidRPr="00C406BC">
        <w:rPr>
          <w:rFonts w:ascii="Traditional Arabic" w:eastAsia="Calibri" w:hAnsi="Traditional Arabic" w:cs="Traditional Arabic"/>
          <w:sz w:val="40"/>
          <w:szCs w:val="40"/>
        </w:rPr>
        <w:t>.</w:t>
      </w:r>
    </w:p>
    <w:p w14:paraId="0804CAF2" w14:textId="76560C55" w:rsidR="00286DB0" w:rsidRPr="00C406BC" w:rsidRDefault="00286DB0" w:rsidP="00594ACB">
      <w:pPr>
        <w:spacing w:after="240" w:line="360" w:lineRule="auto"/>
        <w:rPr>
          <w:rFonts w:ascii="Traditional Arabic" w:eastAsia="Calibri" w:hAnsi="Traditional Arabic" w:cs="Traditional Arabic"/>
          <w:sz w:val="40"/>
          <w:szCs w:val="40"/>
        </w:rPr>
      </w:pPr>
      <w:r w:rsidRPr="00C406BC">
        <w:rPr>
          <w:rFonts w:ascii="Traditional Arabic" w:eastAsia="Calibri" w:hAnsi="Traditional Arabic" w:cs="Traditional Arabic"/>
          <w:sz w:val="40"/>
          <w:szCs w:val="40"/>
          <w:rtl/>
        </w:rPr>
        <w:t>ثانياً</w:t>
      </w:r>
      <w:r w:rsidR="004750F2">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قد يؤدي تجاهل التقادم في بعض الحالات إلى فقدان الثقة في النظام القضائي</w:t>
      </w:r>
      <w:r w:rsidR="00594ACB">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w:t>
      </w:r>
      <w:r w:rsidR="00594ACB">
        <w:rPr>
          <w:rFonts w:ascii="Traditional Arabic" w:eastAsia="Calibri" w:hAnsi="Traditional Arabic" w:cs="Traditional Arabic" w:hint="cs"/>
          <w:sz w:val="40"/>
          <w:szCs w:val="40"/>
          <w:rtl/>
        </w:rPr>
        <w:t>ف</w:t>
      </w:r>
      <w:r w:rsidRPr="00C406BC">
        <w:rPr>
          <w:rFonts w:ascii="Traditional Arabic" w:eastAsia="Calibri" w:hAnsi="Traditional Arabic" w:cs="Traditional Arabic"/>
          <w:sz w:val="40"/>
          <w:szCs w:val="40"/>
          <w:rtl/>
        </w:rPr>
        <w:t>يمكن للأشخاص الشعور بالإحباط إذا لم يتمكنوا من الحصول على العد</w:t>
      </w:r>
      <w:r w:rsidR="00594ACB">
        <w:rPr>
          <w:rFonts w:ascii="Traditional Arabic" w:eastAsia="Calibri" w:hAnsi="Traditional Arabic" w:cs="Traditional Arabic" w:hint="cs"/>
          <w:sz w:val="40"/>
          <w:szCs w:val="40"/>
          <w:rtl/>
        </w:rPr>
        <w:t>ل</w:t>
      </w:r>
      <w:r w:rsidRPr="00C406BC">
        <w:rPr>
          <w:rFonts w:ascii="Traditional Arabic" w:eastAsia="Calibri" w:hAnsi="Traditional Arabic" w:cs="Traditional Arabic"/>
          <w:sz w:val="40"/>
          <w:szCs w:val="40"/>
          <w:rtl/>
        </w:rPr>
        <w:t xml:space="preserve"> بسبب انتهاء فترة التقادم، مما قد يضعف الثقة العامة في فعالية النظام القضائي</w:t>
      </w:r>
      <w:r w:rsidR="00594ACB">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وعدالته</w:t>
      </w:r>
      <w:r w:rsidR="00594ACB">
        <w:rPr>
          <w:rFonts w:ascii="Traditional Arabic" w:eastAsia="Calibri" w:hAnsi="Traditional Arabic" w:cs="Traditional Arabic" w:hint="cs"/>
          <w:sz w:val="40"/>
          <w:szCs w:val="40"/>
          <w:rtl/>
        </w:rPr>
        <w:t xml:space="preserve">، </w:t>
      </w:r>
      <w:r w:rsidRPr="00C406BC">
        <w:rPr>
          <w:rFonts w:ascii="Traditional Arabic" w:eastAsia="Calibri" w:hAnsi="Traditional Arabic" w:cs="Traditional Arabic"/>
          <w:sz w:val="40"/>
          <w:szCs w:val="40"/>
          <w:rtl/>
        </w:rPr>
        <w:t>أما فيما يتعلق بالآثار الاقتصادية، فقد يؤثر التقادم في القضايا التجارية على الثقة في بيئة الأعمال</w:t>
      </w:r>
      <w:r w:rsidR="00F13FD1">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فإذا كانت هناك شكوك حول قدرة النظام القضائي على حماية حقوق الأطراف في حالة وقوع نزاع، </w:t>
      </w:r>
      <w:r w:rsidR="00F13FD1">
        <w:rPr>
          <w:rFonts w:ascii="Traditional Arabic" w:eastAsia="Calibri" w:hAnsi="Traditional Arabic" w:cs="Traditional Arabic" w:hint="cs"/>
          <w:sz w:val="40"/>
          <w:szCs w:val="40"/>
          <w:rtl/>
        </w:rPr>
        <w:t>ف</w:t>
      </w:r>
      <w:r w:rsidRPr="00C406BC">
        <w:rPr>
          <w:rFonts w:ascii="Traditional Arabic" w:eastAsia="Calibri" w:hAnsi="Traditional Arabic" w:cs="Traditional Arabic"/>
          <w:sz w:val="40"/>
          <w:szCs w:val="40"/>
          <w:rtl/>
        </w:rPr>
        <w:t xml:space="preserve">قد تتردد </w:t>
      </w:r>
      <w:r w:rsidRPr="00C406BC">
        <w:rPr>
          <w:rFonts w:ascii="Traditional Arabic" w:eastAsia="Calibri" w:hAnsi="Traditional Arabic" w:cs="Traditional Arabic"/>
          <w:sz w:val="40"/>
          <w:szCs w:val="40"/>
          <w:rtl/>
        </w:rPr>
        <w:lastRenderedPageBreak/>
        <w:t>الشركات في القيام بالعقود</w:t>
      </w:r>
      <w:r w:rsidR="00F13FD1">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أو الاستثمارات</w:t>
      </w:r>
      <w:r w:rsidR="00F13FD1">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وبالتالي </w:t>
      </w:r>
      <w:r w:rsidR="00F13FD1">
        <w:rPr>
          <w:rFonts w:ascii="Traditional Arabic" w:eastAsia="Calibri" w:hAnsi="Traditional Arabic" w:cs="Traditional Arabic" w:hint="cs"/>
          <w:sz w:val="40"/>
          <w:szCs w:val="40"/>
          <w:rtl/>
        </w:rPr>
        <w:t>ف</w:t>
      </w:r>
      <w:r w:rsidRPr="00C406BC">
        <w:rPr>
          <w:rFonts w:ascii="Traditional Arabic" w:eastAsia="Calibri" w:hAnsi="Traditional Arabic" w:cs="Traditional Arabic"/>
          <w:sz w:val="40"/>
          <w:szCs w:val="40"/>
          <w:rtl/>
        </w:rPr>
        <w:t>قد يؤدي هذا التردد إلى تباطؤ نشاط الاقتصاد</w:t>
      </w:r>
      <w:r w:rsidR="00F13FD1">
        <w:rPr>
          <w:rFonts w:ascii="Traditional Arabic" w:eastAsia="Calibri" w:hAnsi="Traditional Arabic" w:cs="Traditional Arabic" w:hint="cs"/>
          <w:sz w:val="40"/>
          <w:szCs w:val="40"/>
          <w:rtl/>
        </w:rPr>
        <w:t>،</w:t>
      </w:r>
      <w:r w:rsidRPr="00C406BC">
        <w:rPr>
          <w:rFonts w:ascii="Traditional Arabic" w:eastAsia="Calibri" w:hAnsi="Traditional Arabic" w:cs="Traditional Arabic"/>
          <w:sz w:val="40"/>
          <w:szCs w:val="40"/>
          <w:rtl/>
        </w:rPr>
        <w:t xml:space="preserve"> وانخفاض حركة التجارة</w:t>
      </w:r>
      <w:r w:rsidRPr="00C406BC">
        <w:rPr>
          <w:rFonts w:ascii="Traditional Arabic" w:eastAsia="Calibri" w:hAnsi="Traditional Arabic" w:cs="Traditional Arabic"/>
          <w:sz w:val="40"/>
          <w:szCs w:val="40"/>
        </w:rPr>
        <w:t>.</w:t>
      </w:r>
    </w:p>
    <w:p w14:paraId="4D9EEA0A" w14:textId="0B345925" w:rsidR="00286DB0" w:rsidRPr="00C406BC" w:rsidRDefault="00F13FD1" w:rsidP="009F344F">
      <w:pPr>
        <w:spacing w:after="240" w:line="360" w:lineRule="auto"/>
        <w:rPr>
          <w:rFonts w:ascii="Traditional Arabic" w:eastAsia="Calibri" w:hAnsi="Traditional Arabic" w:cs="Traditional Arabic"/>
          <w:sz w:val="40"/>
          <w:szCs w:val="40"/>
          <w:rtl/>
        </w:rPr>
      </w:pPr>
      <w:r>
        <w:rPr>
          <w:rFonts w:ascii="Traditional Arabic" w:eastAsia="Calibri" w:hAnsi="Traditional Arabic" w:cs="Traditional Arabic" w:hint="cs"/>
          <w:sz w:val="40"/>
          <w:szCs w:val="40"/>
          <w:rtl/>
        </w:rPr>
        <w:t>ثالثا: زياد</w:t>
      </w:r>
      <w:r>
        <w:rPr>
          <w:rFonts w:ascii="Traditional Arabic" w:eastAsia="Calibri" w:hAnsi="Traditional Arabic" w:cs="Traditional Arabic" w:hint="eastAsia"/>
          <w:sz w:val="40"/>
          <w:szCs w:val="40"/>
          <w:rtl/>
        </w:rPr>
        <w:t>ة</w:t>
      </w:r>
      <w:r>
        <w:rPr>
          <w:rFonts w:ascii="Traditional Arabic" w:eastAsia="Calibri" w:hAnsi="Traditional Arabic" w:cs="Traditional Arabic" w:hint="cs"/>
          <w:sz w:val="40"/>
          <w:szCs w:val="40"/>
          <w:rtl/>
        </w:rPr>
        <w:t xml:space="preserve"> التكاليف؛</w:t>
      </w:r>
      <w:r w:rsidR="00286DB0" w:rsidRPr="00C406BC">
        <w:rPr>
          <w:rFonts w:ascii="Traditional Arabic" w:eastAsia="Calibri" w:hAnsi="Traditional Arabic" w:cs="Traditional Arabic"/>
          <w:sz w:val="40"/>
          <w:szCs w:val="40"/>
          <w:rtl/>
        </w:rPr>
        <w:t xml:space="preserve"> </w:t>
      </w:r>
      <w:r>
        <w:rPr>
          <w:rFonts w:ascii="Traditional Arabic" w:eastAsia="Calibri" w:hAnsi="Traditional Arabic" w:cs="Traditional Arabic" w:hint="cs"/>
          <w:sz w:val="40"/>
          <w:szCs w:val="40"/>
          <w:rtl/>
        </w:rPr>
        <w:t>ف</w:t>
      </w:r>
      <w:r w:rsidR="00286DB0" w:rsidRPr="00C406BC">
        <w:rPr>
          <w:rFonts w:ascii="Traditional Arabic" w:eastAsia="Calibri" w:hAnsi="Traditional Arabic" w:cs="Traditional Arabic"/>
          <w:sz w:val="40"/>
          <w:szCs w:val="40"/>
          <w:rtl/>
        </w:rPr>
        <w:t>يمكن أن يزيد التقادم في القضايا من التكاليف القانونية للأطراف المعنية</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w:t>
      </w:r>
      <w:r>
        <w:rPr>
          <w:rFonts w:ascii="Traditional Arabic" w:eastAsia="Calibri" w:hAnsi="Traditional Arabic" w:cs="Traditional Arabic" w:hint="cs"/>
          <w:sz w:val="40"/>
          <w:szCs w:val="40"/>
          <w:rtl/>
        </w:rPr>
        <w:t xml:space="preserve">وذلك </w:t>
      </w:r>
      <w:r w:rsidR="00286DB0" w:rsidRPr="00C406BC">
        <w:rPr>
          <w:rFonts w:ascii="Traditional Arabic" w:eastAsia="Calibri" w:hAnsi="Traditional Arabic" w:cs="Traditional Arabic"/>
          <w:sz w:val="40"/>
          <w:szCs w:val="40"/>
          <w:rtl/>
        </w:rPr>
        <w:t xml:space="preserve">عندما يتوجب على الأشخاص انتظار فترة طويلة قد تصل إلى نهاية فترة التقادم، </w:t>
      </w:r>
      <w:r>
        <w:rPr>
          <w:rFonts w:ascii="Traditional Arabic" w:eastAsia="Calibri" w:hAnsi="Traditional Arabic" w:cs="Traditional Arabic" w:hint="cs"/>
          <w:sz w:val="40"/>
          <w:szCs w:val="40"/>
          <w:rtl/>
        </w:rPr>
        <w:t>مما يؤدي إلى</w:t>
      </w:r>
      <w:r w:rsidR="00286DB0" w:rsidRPr="00C406BC">
        <w:rPr>
          <w:rFonts w:ascii="Traditional Arabic" w:eastAsia="Calibri" w:hAnsi="Traditional Arabic" w:cs="Traditional Arabic"/>
          <w:sz w:val="40"/>
          <w:szCs w:val="40"/>
          <w:rtl/>
        </w:rPr>
        <w:t xml:space="preserve"> استنفا</w:t>
      </w:r>
      <w:r>
        <w:rPr>
          <w:rFonts w:ascii="Traditional Arabic" w:eastAsia="Calibri" w:hAnsi="Traditional Arabic" w:cs="Traditional Arabic" w:hint="cs"/>
          <w:sz w:val="40"/>
          <w:szCs w:val="40"/>
          <w:rtl/>
        </w:rPr>
        <w:t>د</w:t>
      </w:r>
      <w:r w:rsidR="00286DB0" w:rsidRPr="00C406BC">
        <w:rPr>
          <w:rFonts w:ascii="Traditional Arabic" w:eastAsia="Calibri" w:hAnsi="Traditional Arabic" w:cs="Traditional Arabic"/>
          <w:sz w:val="40"/>
          <w:szCs w:val="40"/>
          <w:rtl/>
        </w:rPr>
        <w:t xml:space="preserve"> الموارد المالية</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والقانونية، مما يزيد من تكاليف القضية بشكل كبير</w:t>
      </w:r>
      <w:r w:rsidR="009F344F">
        <w:rPr>
          <w:rFonts w:ascii="Traditional Arabic" w:eastAsia="Calibri" w:hAnsi="Traditional Arabic" w:cs="Traditional Arabic" w:hint="cs"/>
          <w:sz w:val="40"/>
          <w:szCs w:val="40"/>
          <w:rtl/>
        </w:rPr>
        <w:t xml:space="preserve">، </w:t>
      </w:r>
      <w:r>
        <w:rPr>
          <w:rFonts w:ascii="Traditional Arabic" w:eastAsia="Calibri" w:hAnsi="Traditional Arabic" w:cs="Traditional Arabic" w:hint="cs"/>
          <w:sz w:val="40"/>
          <w:szCs w:val="40"/>
          <w:rtl/>
        </w:rPr>
        <w:t>و</w:t>
      </w:r>
      <w:r w:rsidR="00286DB0" w:rsidRPr="00C406BC">
        <w:rPr>
          <w:rFonts w:ascii="Traditional Arabic" w:eastAsia="Calibri" w:hAnsi="Traditional Arabic" w:cs="Traditional Arabic"/>
          <w:sz w:val="40"/>
          <w:szCs w:val="40"/>
          <w:rtl/>
        </w:rPr>
        <w:t>عمومًا،</w:t>
      </w:r>
      <w:r>
        <w:rPr>
          <w:rFonts w:ascii="Traditional Arabic" w:eastAsia="Calibri" w:hAnsi="Traditional Arabic" w:cs="Traditional Arabic" w:hint="cs"/>
          <w:sz w:val="40"/>
          <w:szCs w:val="40"/>
          <w:rtl/>
        </w:rPr>
        <w:t xml:space="preserve"> فإنه</w:t>
      </w:r>
      <w:r w:rsidR="00286DB0" w:rsidRPr="00C406BC">
        <w:rPr>
          <w:rFonts w:ascii="Traditional Arabic" w:eastAsia="Calibri" w:hAnsi="Traditional Arabic" w:cs="Traditional Arabic"/>
          <w:sz w:val="40"/>
          <w:szCs w:val="40"/>
          <w:rtl/>
        </w:rPr>
        <w:t xml:space="preserve"> يجب أن </w:t>
      </w:r>
      <w:r>
        <w:rPr>
          <w:rFonts w:ascii="Traditional Arabic" w:eastAsia="Calibri" w:hAnsi="Traditional Arabic" w:cs="Traditional Arabic" w:hint="cs"/>
          <w:sz w:val="40"/>
          <w:szCs w:val="40"/>
          <w:rtl/>
        </w:rPr>
        <w:t>يوازَن</w:t>
      </w:r>
      <w:r w:rsidR="00286DB0" w:rsidRPr="00C406BC">
        <w:rPr>
          <w:rFonts w:ascii="Traditional Arabic" w:eastAsia="Calibri" w:hAnsi="Traditional Arabic" w:cs="Traditional Arabic"/>
          <w:sz w:val="40"/>
          <w:szCs w:val="40"/>
          <w:rtl/>
        </w:rPr>
        <w:t xml:space="preserve"> بين حق الأفراد في الحصول على العدالة</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وحق المجتمع في استقرار قواعده</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ونظامه القانوني</w:t>
      </w:r>
      <w:r>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w:t>
      </w:r>
      <w:r>
        <w:rPr>
          <w:rFonts w:ascii="Traditional Arabic" w:eastAsia="Calibri" w:hAnsi="Traditional Arabic" w:cs="Traditional Arabic" w:hint="cs"/>
          <w:sz w:val="40"/>
          <w:szCs w:val="40"/>
          <w:rtl/>
        </w:rPr>
        <w:t>و</w:t>
      </w:r>
      <w:r w:rsidR="00286DB0" w:rsidRPr="00C406BC">
        <w:rPr>
          <w:rFonts w:ascii="Traditional Arabic" w:eastAsia="Calibri" w:hAnsi="Traditional Arabic" w:cs="Traditional Arabic"/>
          <w:sz w:val="40"/>
          <w:szCs w:val="40"/>
          <w:rtl/>
        </w:rPr>
        <w:t>يلعب القانون دورًا حاسمًا في تحديد فترات التقادم</w:t>
      </w:r>
      <w:r w:rsidR="00C61624">
        <w:rPr>
          <w:rFonts w:ascii="Traditional Arabic" w:eastAsia="Calibri" w:hAnsi="Traditional Arabic" w:cs="Traditional Arabic" w:hint="cs"/>
          <w:sz w:val="40"/>
          <w:szCs w:val="40"/>
          <w:rtl/>
        </w:rPr>
        <w:t>،</w:t>
      </w:r>
      <w:r w:rsidR="00286DB0" w:rsidRPr="00C406BC">
        <w:rPr>
          <w:rFonts w:ascii="Traditional Arabic" w:eastAsia="Calibri" w:hAnsi="Traditional Arabic" w:cs="Traditional Arabic"/>
          <w:sz w:val="40"/>
          <w:szCs w:val="40"/>
          <w:rtl/>
        </w:rPr>
        <w:t xml:space="preserve"> وتقديم الحماية اللازمة لكافة الأطراف المعنية</w:t>
      </w:r>
      <w:r w:rsidR="00286DB0" w:rsidRPr="00C406BC">
        <w:rPr>
          <w:rFonts w:ascii="Traditional Arabic" w:eastAsia="Calibri" w:hAnsi="Traditional Arabic" w:cs="Traditional Arabic"/>
          <w:sz w:val="40"/>
          <w:szCs w:val="40"/>
        </w:rPr>
        <w:t>.</w:t>
      </w:r>
    </w:p>
    <w:p w14:paraId="11B2574B" w14:textId="77777777" w:rsidR="00C406BC" w:rsidRDefault="00C406BC" w:rsidP="00C406BC">
      <w:pPr>
        <w:spacing w:after="240" w:line="360" w:lineRule="auto"/>
        <w:ind w:firstLine="720"/>
        <w:rPr>
          <w:rFonts w:ascii="Traditional Arabic" w:eastAsia="Calibri" w:hAnsi="Traditional Arabic" w:cs="Traditional Arabic"/>
          <w:sz w:val="40"/>
          <w:szCs w:val="40"/>
          <w:rtl/>
        </w:rPr>
      </w:pPr>
    </w:p>
    <w:p w14:paraId="2A9447CF" w14:textId="77777777" w:rsidR="006642AB" w:rsidRDefault="006642AB" w:rsidP="00C406BC">
      <w:pPr>
        <w:spacing w:after="240" w:line="360" w:lineRule="auto"/>
        <w:ind w:firstLine="720"/>
        <w:rPr>
          <w:rFonts w:ascii="Traditional Arabic" w:eastAsia="Calibri" w:hAnsi="Traditional Arabic" w:cs="Traditional Arabic"/>
          <w:sz w:val="40"/>
          <w:szCs w:val="40"/>
          <w:rtl/>
        </w:rPr>
      </w:pPr>
    </w:p>
    <w:p w14:paraId="57EA2D1D" w14:textId="77777777" w:rsidR="006642AB" w:rsidRPr="00C406BC" w:rsidRDefault="006642AB" w:rsidP="00C406BC">
      <w:pPr>
        <w:spacing w:after="240" w:line="360" w:lineRule="auto"/>
        <w:ind w:firstLine="720"/>
        <w:rPr>
          <w:rFonts w:ascii="Traditional Arabic" w:eastAsia="Calibri" w:hAnsi="Traditional Arabic" w:cs="Traditional Arabic"/>
          <w:sz w:val="40"/>
          <w:szCs w:val="40"/>
          <w:rtl/>
        </w:rPr>
      </w:pPr>
    </w:p>
    <w:p w14:paraId="4CD604A3" w14:textId="77777777" w:rsidR="00C406BC" w:rsidRPr="00C406BC" w:rsidRDefault="00C406BC" w:rsidP="00C406BC">
      <w:pPr>
        <w:spacing w:after="240" w:line="360" w:lineRule="auto"/>
        <w:ind w:firstLine="720"/>
        <w:rPr>
          <w:rFonts w:ascii="Traditional Arabic" w:eastAsia="Calibri" w:hAnsi="Traditional Arabic" w:cs="Traditional Arabic"/>
          <w:sz w:val="40"/>
          <w:szCs w:val="40"/>
          <w:rtl/>
        </w:rPr>
      </w:pPr>
    </w:p>
    <w:p w14:paraId="7080F8BC" w14:textId="77777777" w:rsidR="00C406BC" w:rsidRPr="00C406BC" w:rsidRDefault="00C406BC" w:rsidP="00C406BC">
      <w:pPr>
        <w:spacing w:after="240" w:line="360" w:lineRule="auto"/>
        <w:ind w:firstLine="720"/>
        <w:rPr>
          <w:rFonts w:ascii="Traditional Arabic" w:eastAsia="Calibri" w:hAnsi="Traditional Arabic" w:cs="Traditional Arabic"/>
          <w:sz w:val="40"/>
          <w:szCs w:val="40"/>
          <w:rtl/>
        </w:rPr>
      </w:pPr>
    </w:p>
    <w:p w14:paraId="24651657" w14:textId="115A8E64" w:rsidR="00EA712F" w:rsidRDefault="00EA712F" w:rsidP="004750F2">
      <w:pPr>
        <w:rPr>
          <w:rtl/>
        </w:rPr>
      </w:pPr>
      <w:bookmarkStart w:id="50" w:name="_Toc168891656"/>
      <w:r>
        <w:rPr>
          <w:rFonts w:ascii="Traditional Arabic" w:eastAsia="Calibri" w:hAnsi="Traditional Arabic" w:cs="Traditional Arabic"/>
          <w:b/>
          <w:bCs/>
          <w:sz w:val="40"/>
          <w:szCs w:val="40"/>
        </w:rPr>
        <w:lastRenderedPageBreak/>
        <w:t>:</w:t>
      </w:r>
      <w:r w:rsidR="00286DB0" w:rsidRPr="00C406BC">
        <w:rPr>
          <w:rFonts w:ascii="Traditional Arabic" w:eastAsia="Calibri" w:hAnsi="Traditional Arabic" w:cs="Traditional Arabic"/>
          <w:b/>
          <w:bCs/>
          <w:sz w:val="40"/>
          <w:szCs w:val="40"/>
        </w:rPr>
        <w:t>الخاتمة</w:t>
      </w:r>
      <w:bookmarkStart w:id="51" w:name="_Toc168891657"/>
      <w:bookmarkEnd w:id="50"/>
      <w:r w:rsidR="004750F2" w:rsidRPr="004750F2">
        <w:rPr>
          <w:rFonts w:hint="cs"/>
          <w:rtl/>
        </w:rPr>
        <w:t xml:space="preserve"> </w:t>
      </w:r>
    </w:p>
    <w:p w14:paraId="7EC76E9F" w14:textId="53AC4E5F" w:rsidR="00EA712F" w:rsidRDefault="00EA712F" w:rsidP="004750F2">
      <w:pPr>
        <w:rPr>
          <w:rtl/>
        </w:rPr>
      </w:pPr>
      <w:r>
        <w:rPr>
          <w:rFonts w:hint="cs"/>
          <w:rtl/>
        </w:rPr>
        <w:t>الحمد لله الذي بنعمته تتم الصالحات، والصلاة والسلام على خير خلق الله، وبعد ففي نهاية هذا البحث، فقد توصل الباحث إلى النتائج الآتية:</w:t>
      </w:r>
    </w:p>
    <w:p w14:paraId="2AD281DB" w14:textId="0D2AF80D" w:rsidR="004750F2" w:rsidRDefault="004750F2" w:rsidP="004750F2">
      <w:pPr>
        <w:rPr>
          <w:rtl/>
        </w:rPr>
      </w:pPr>
      <w:r>
        <w:rPr>
          <w:rFonts w:hint="cs"/>
          <w:rtl/>
        </w:rPr>
        <w:t xml:space="preserve">أولا: أن التقادم في اللغة هو </w:t>
      </w:r>
      <w:r w:rsidRPr="00B56980">
        <w:rPr>
          <w:rFonts w:hint="cs"/>
          <w:rtl/>
        </w:rPr>
        <w:t>مرور زمن طويل على الشيء،</w:t>
      </w:r>
      <w:r>
        <w:rPr>
          <w:rFonts w:hint="cs"/>
          <w:rtl/>
        </w:rPr>
        <w:t xml:space="preserve"> وفي النظام هو </w:t>
      </w:r>
      <w:r w:rsidRPr="00B56980">
        <w:rPr>
          <w:rtl/>
        </w:rPr>
        <w:t>مضي المدة المقررة بالقانون يترتب عليه سقوط التعهد</w:t>
      </w:r>
      <w:r w:rsidR="005B5898">
        <w:rPr>
          <w:rFonts w:hint="cs"/>
          <w:rtl/>
        </w:rPr>
        <w:t>،</w:t>
      </w:r>
      <w:r w:rsidRPr="00B56980">
        <w:rPr>
          <w:rtl/>
        </w:rPr>
        <w:t xml:space="preserve"> واعتبار براءة المتعهد منه</w:t>
      </w:r>
      <w:r>
        <w:rPr>
          <w:rFonts w:hint="cs"/>
          <w:rtl/>
        </w:rPr>
        <w:t xml:space="preserve">، وهناك تلازم بين المعنيين اللغوي، والنظامي للتقادم، إلا أن الباحث يختار أن يكون تعريف التقادم هو </w:t>
      </w:r>
      <w:r w:rsidRPr="00B56980">
        <w:rPr>
          <w:rFonts w:hint="cs"/>
          <w:rtl/>
        </w:rPr>
        <w:t>انقضاء مدة معينة من الزمن على حدوث أمر، أو واقعة معينة يترتب عليه زوال الأثر القانوني المترتب على هذا الأمر، أو على تلك الواقعة</w:t>
      </w:r>
      <w:r>
        <w:rPr>
          <w:rFonts w:hint="cs"/>
          <w:rtl/>
        </w:rPr>
        <w:t>.</w:t>
      </w:r>
      <w:r w:rsidRPr="00B56980">
        <w:rPr>
          <w:rFonts w:hint="cs"/>
          <w:rtl/>
        </w:rPr>
        <w:t xml:space="preserve"> </w:t>
      </w:r>
    </w:p>
    <w:p w14:paraId="058EB14A" w14:textId="53D25857" w:rsidR="004750F2" w:rsidRDefault="004750F2" w:rsidP="004750F2">
      <w:pPr>
        <w:rPr>
          <w:rtl/>
        </w:rPr>
      </w:pPr>
      <w:r>
        <w:rPr>
          <w:rFonts w:hint="cs"/>
          <w:rtl/>
        </w:rPr>
        <w:t>ثا</w:t>
      </w:r>
      <w:r w:rsidR="008F5906">
        <w:rPr>
          <w:rFonts w:hint="cs"/>
          <w:rtl/>
        </w:rPr>
        <w:t>نيا</w:t>
      </w:r>
      <w:r>
        <w:rPr>
          <w:rFonts w:hint="cs"/>
          <w:rtl/>
        </w:rPr>
        <w:t xml:space="preserve">: أن التقادم نوعان؛ هما </w:t>
      </w:r>
      <w:r w:rsidRPr="00B03CD3">
        <w:rPr>
          <w:rFonts w:hint="cs"/>
          <w:rtl/>
        </w:rPr>
        <w:t>التقادم المسقط</w:t>
      </w:r>
      <w:r>
        <w:rPr>
          <w:rFonts w:hint="cs"/>
          <w:rtl/>
        </w:rPr>
        <w:t>،</w:t>
      </w:r>
      <w:r w:rsidRPr="00B03CD3">
        <w:rPr>
          <w:rFonts w:hint="cs"/>
          <w:rtl/>
        </w:rPr>
        <w:t xml:space="preserve"> و</w:t>
      </w:r>
      <w:r w:rsidRPr="00B03CD3">
        <w:rPr>
          <w:rtl/>
        </w:rPr>
        <w:t>هو آلية قانونية تؤدي إلى سقوط الحق في المطالبة بالدين</w:t>
      </w:r>
      <w:r w:rsidRPr="00B03CD3">
        <w:rPr>
          <w:rFonts w:hint="cs"/>
          <w:rtl/>
        </w:rPr>
        <w:t>،</w:t>
      </w:r>
      <w:r w:rsidRPr="00B03CD3">
        <w:rPr>
          <w:rtl/>
        </w:rPr>
        <w:t xml:space="preserve"> أو الالتزام بعد مرور فترة زمنية معينة دون أن يقوم الدائن بإجراءات قضائية للمطالبة بحقه</w:t>
      </w:r>
      <w:r>
        <w:rPr>
          <w:rFonts w:hint="cs"/>
          <w:rtl/>
        </w:rPr>
        <w:t>، و</w:t>
      </w:r>
      <w:r w:rsidRPr="00B03CD3">
        <w:rPr>
          <w:rFonts w:hint="cs"/>
          <w:rtl/>
        </w:rPr>
        <w:t>التقادم المكسب</w:t>
      </w:r>
      <w:r>
        <w:rPr>
          <w:rFonts w:hint="cs"/>
          <w:rtl/>
        </w:rPr>
        <w:t xml:space="preserve"> </w:t>
      </w:r>
      <w:r w:rsidRPr="00B03CD3">
        <w:rPr>
          <w:rtl/>
        </w:rPr>
        <w:t>هو نظام قانوني يمكن من خلاله للفرد كسب حق معين</w:t>
      </w:r>
      <w:r w:rsidRPr="00B03CD3">
        <w:rPr>
          <w:rFonts w:hint="cs"/>
          <w:rtl/>
        </w:rPr>
        <w:t xml:space="preserve">؛ </w:t>
      </w:r>
      <w:r w:rsidRPr="00B03CD3">
        <w:rPr>
          <w:rtl/>
        </w:rPr>
        <w:t xml:space="preserve">مثل ملكية </w:t>
      </w:r>
      <w:r w:rsidRPr="00B03CD3">
        <w:rPr>
          <w:rFonts w:hint="cs"/>
          <w:rtl/>
        </w:rPr>
        <w:t>عقار،</w:t>
      </w:r>
      <w:r w:rsidRPr="00B03CD3">
        <w:rPr>
          <w:rtl/>
        </w:rPr>
        <w:t xml:space="preserve"> أو منقول إذا استمر في حيازته لمدة محددة قانونيًا دون انقطاع</w:t>
      </w:r>
      <w:r w:rsidRPr="00B03CD3">
        <w:rPr>
          <w:rFonts w:hint="cs"/>
          <w:rtl/>
        </w:rPr>
        <w:t>،</w:t>
      </w:r>
      <w:r w:rsidRPr="00B03CD3">
        <w:rPr>
          <w:rtl/>
        </w:rPr>
        <w:t xml:space="preserve"> أو منازعة من الآخرين. </w:t>
      </w:r>
    </w:p>
    <w:p w14:paraId="77C1D721" w14:textId="34F36FC9" w:rsidR="004750F2" w:rsidRDefault="008F5906" w:rsidP="008F5906">
      <w:pPr>
        <w:rPr>
          <w:rtl/>
        </w:rPr>
      </w:pPr>
      <w:r>
        <w:rPr>
          <w:rFonts w:hint="cs"/>
          <w:rtl/>
        </w:rPr>
        <w:t>ثالثا</w:t>
      </w:r>
      <w:r w:rsidR="004750F2">
        <w:rPr>
          <w:rFonts w:hint="cs"/>
          <w:rtl/>
        </w:rPr>
        <w:t>: أن التقدم المسقط يهدف</w:t>
      </w:r>
      <w:r w:rsidR="004750F2" w:rsidRPr="00B03CD3">
        <w:rPr>
          <w:rFonts w:hint="cs"/>
          <w:rtl/>
        </w:rPr>
        <w:t xml:space="preserve"> </w:t>
      </w:r>
      <w:r w:rsidR="004750F2" w:rsidRPr="00B03CD3">
        <w:rPr>
          <w:rtl/>
        </w:rPr>
        <w:t>إلى استقرار المعاملات</w:t>
      </w:r>
      <w:r w:rsidR="004750F2" w:rsidRPr="00B03CD3">
        <w:rPr>
          <w:rFonts w:hint="cs"/>
          <w:rtl/>
        </w:rPr>
        <w:t>،</w:t>
      </w:r>
      <w:r w:rsidR="004750F2" w:rsidRPr="00B03CD3">
        <w:rPr>
          <w:rtl/>
        </w:rPr>
        <w:t xml:space="preserve"> وحماية المدين من المطالبات التي قد تكون قديمة</w:t>
      </w:r>
      <w:r w:rsidR="005B5898">
        <w:rPr>
          <w:rFonts w:hint="cs"/>
          <w:rtl/>
        </w:rPr>
        <w:t>،</w:t>
      </w:r>
      <w:r w:rsidR="004750F2" w:rsidRPr="00B03CD3">
        <w:rPr>
          <w:rtl/>
        </w:rPr>
        <w:t xml:space="preserve"> ومن الصعب إثباتها</w:t>
      </w:r>
      <w:r w:rsidR="006642AB">
        <w:rPr>
          <w:rFonts w:hint="cs"/>
          <w:rtl/>
        </w:rPr>
        <w:t>، كما</w:t>
      </w:r>
      <w:r w:rsidR="004750F2">
        <w:rPr>
          <w:rFonts w:hint="cs"/>
          <w:rtl/>
        </w:rPr>
        <w:t xml:space="preserve"> أن التقادم المكسب يهدف</w:t>
      </w:r>
      <w:r w:rsidR="004750F2" w:rsidRPr="000324B2">
        <w:rPr>
          <w:rtl/>
        </w:rPr>
        <w:t xml:space="preserve"> إلى استقرار الحقوق</w:t>
      </w:r>
      <w:r w:rsidR="004750F2" w:rsidRPr="000324B2">
        <w:rPr>
          <w:rFonts w:hint="cs"/>
          <w:rtl/>
        </w:rPr>
        <w:t>،</w:t>
      </w:r>
      <w:r w:rsidR="004750F2" w:rsidRPr="000324B2">
        <w:rPr>
          <w:rtl/>
        </w:rPr>
        <w:t xml:space="preserve"> والمراكز القانونية من خلال تقنين فترة زمنية تتاح خلالها للأشخاص فرصة الاعتراض على حيازة </w:t>
      </w:r>
      <w:r w:rsidR="004750F2" w:rsidRPr="000324B2">
        <w:rPr>
          <w:rFonts w:hint="cs"/>
          <w:rtl/>
        </w:rPr>
        <w:t>الغير</w:t>
      </w:r>
      <w:r>
        <w:rPr>
          <w:rFonts w:hint="cs"/>
          <w:rtl/>
        </w:rPr>
        <w:t>، وهو</w:t>
      </w:r>
      <w:r w:rsidR="004750F2">
        <w:rPr>
          <w:rFonts w:hint="cs"/>
          <w:rtl/>
        </w:rPr>
        <w:t xml:space="preserve"> أن ينقسم ثلاثة إلى أقسام</w:t>
      </w:r>
      <w:r w:rsidR="005B5898">
        <w:rPr>
          <w:rFonts w:hint="cs"/>
          <w:rtl/>
        </w:rPr>
        <w:t>؛</w:t>
      </w:r>
      <w:r w:rsidR="004750F2">
        <w:rPr>
          <w:rFonts w:hint="cs"/>
          <w:rtl/>
        </w:rPr>
        <w:t xml:space="preserve"> هي العادي، والحولي، والخمسي، ولكل منها أحكامه المختلفة عن بقية الأنواع، والتي نظمها القانون.</w:t>
      </w:r>
    </w:p>
    <w:p w14:paraId="62670D1D" w14:textId="5745C23F" w:rsidR="004750F2" w:rsidRDefault="008F5906" w:rsidP="004750F2">
      <w:pPr>
        <w:rPr>
          <w:rtl/>
        </w:rPr>
      </w:pPr>
      <w:r>
        <w:rPr>
          <w:rFonts w:hint="cs"/>
          <w:rtl/>
        </w:rPr>
        <w:t>رابعا</w:t>
      </w:r>
      <w:r w:rsidR="004750F2">
        <w:rPr>
          <w:rFonts w:hint="cs"/>
          <w:rtl/>
        </w:rPr>
        <w:t xml:space="preserve">: أن </w:t>
      </w:r>
      <w:r w:rsidR="004750F2" w:rsidRPr="000324B2">
        <w:rPr>
          <w:rtl/>
        </w:rPr>
        <w:t>أساس التقادم المكسب يعتمد على حيازة الشخص لحق معين بشكل مستمر</w:t>
      </w:r>
      <w:r w:rsidR="004750F2" w:rsidRPr="000324B2">
        <w:rPr>
          <w:rFonts w:hint="cs"/>
          <w:rtl/>
        </w:rPr>
        <w:t>،</w:t>
      </w:r>
      <w:r w:rsidR="004750F2" w:rsidRPr="000324B2">
        <w:rPr>
          <w:rtl/>
        </w:rPr>
        <w:t xml:space="preserve"> وعلني</w:t>
      </w:r>
      <w:r w:rsidR="004750F2" w:rsidRPr="000324B2">
        <w:rPr>
          <w:rFonts w:hint="cs"/>
          <w:rtl/>
        </w:rPr>
        <w:t>،</w:t>
      </w:r>
      <w:r w:rsidR="004750F2" w:rsidRPr="000324B2">
        <w:rPr>
          <w:rtl/>
        </w:rPr>
        <w:t xml:space="preserve"> وبدون انقطاع لمدة محددة قانونيًا، ويشترط أن تكون الحيازة هادئة</w:t>
      </w:r>
      <w:r w:rsidR="004750F2" w:rsidRPr="000324B2">
        <w:rPr>
          <w:rFonts w:hint="cs"/>
          <w:rtl/>
        </w:rPr>
        <w:t>،</w:t>
      </w:r>
      <w:r w:rsidR="004750F2" w:rsidRPr="000324B2">
        <w:rPr>
          <w:rtl/>
        </w:rPr>
        <w:t xml:space="preserve"> ومستقرة</w:t>
      </w:r>
      <w:r w:rsidR="004750F2" w:rsidRPr="000324B2">
        <w:rPr>
          <w:rFonts w:hint="cs"/>
          <w:rtl/>
        </w:rPr>
        <w:t>،</w:t>
      </w:r>
      <w:r w:rsidR="004750F2" w:rsidRPr="000324B2">
        <w:rPr>
          <w:rtl/>
        </w:rPr>
        <w:t xml:space="preserve"> وبدون معارضة من المالك الأصلي</w:t>
      </w:r>
      <w:r w:rsidR="004750F2" w:rsidRPr="000324B2">
        <w:rPr>
          <w:rFonts w:hint="cs"/>
          <w:rtl/>
        </w:rPr>
        <w:t>،</w:t>
      </w:r>
      <w:r w:rsidR="004750F2" w:rsidRPr="000324B2">
        <w:rPr>
          <w:rtl/>
        </w:rPr>
        <w:t xml:space="preserve"> أو من الغي</w:t>
      </w:r>
      <w:r w:rsidR="004750F2">
        <w:rPr>
          <w:rFonts w:hint="cs"/>
          <w:rtl/>
        </w:rPr>
        <w:t>ر.</w:t>
      </w:r>
    </w:p>
    <w:p w14:paraId="266F02C1" w14:textId="65A8D373" w:rsidR="004750F2" w:rsidRDefault="008F5906" w:rsidP="008F5906">
      <w:pPr>
        <w:rPr>
          <w:rtl/>
        </w:rPr>
      </w:pPr>
      <w:r>
        <w:rPr>
          <w:rFonts w:hint="cs"/>
          <w:rtl/>
        </w:rPr>
        <w:t xml:space="preserve">خامسا: </w:t>
      </w:r>
      <w:r w:rsidRPr="00B56980">
        <w:rPr>
          <w:rFonts w:hint="cs"/>
          <w:rtl/>
        </w:rPr>
        <w:t xml:space="preserve">أن </w:t>
      </w:r>
      <w:r w:rsidRPr="00B56980">
        <w:rPr>
          <w:rtl/>
        </w:rPr>
        <w:t xml:space="preserve">النظام السعودي استخدم عبارة عدم سماع الدعوى بدلاً </w:t>
      </w:r>
      <w:r w:rsidRPr="00B56980">
        <w:rPr>
          <w:rFonts w:hint="cs"/>
          <w:rtl/>
        </w:rPr>
        <w:t xml:space="preserve">من </w:t>
      </w:r>
      <w:r>
        <w:rPr>
          <w:rFonts w:hint="cs"/>
          <w:rtl/>
        </w:rPr>
        <w:t>عبارة ا</w:t>
      </w:r>
      <w:r w:rsidRPr="00B56980">
        <w:rPr>
          <w:rtl/>
        </w:rPr>
        <w:t>لتقاد</w:t>
      </w:r>
      <w:r w:rsidRPr="00B56980">
        <w:rPr>
          <w:rFonts w:hint="cs"/>
          <w:rtl/>
        </w:rPr>
        <w:t>م</w:t>
      </w:r>
      <w:r>
        <w:rPr>
          <w:rFonts w:hint="cs"/>
          <w:rtl/>
        </w:rPr>
        <w:t>؛</w:t>
      </w:r>
      <w:r w:rsidRPr="00B56980">
        <w:rPr>
          <w:rtl/>
        </w:rPr>
        <w:t xml:space="preserve"> اتباعاً لأحكام الشريعة الإسلامية</w:t>
      </w:r>
      <w:r>
        <w:rPr>
          <w:rFonts w:hint="cs"/>
          <w:rtl/>
        </w:rPr>
        <w:t>، وأنه</w:t>
      </w:r>
      <w:r w:rsidR="004750F2">
        <w:rPr>
          <w:rFonts w:hint="cs"/>
          <w:rtl/>
        </w:rPr>
        <w:t xml:space="preserve"> قرر</w:t>
      </w:r>
      <w:r>
        <w:rPr>
          <w:rFonts w:hint="cs"/>
          <w:rtl/>
        </w:rPr>
        <w:t xml:space="preserve"> كذلك</w:t>
      </w:r>
      <w:r w:rsidR="004750F2">
        <w:rPr>
          <w:rFonts w:hint="cs"/>
          <w:rtl/>
        </w:rPr>
        <w:t xml:space="preserve"> أنه</w:t>
      </w:r>
      <w:r w:rsidR="004750F2" w:rsidRPr="000324B2">
        <w:rPr>
          <w:rtl/>
        </w:rPr>
        <w:t xml:space="preserve"> يمكن للفرد أن يكسب ملكية عقار إذا استمر في حيازته بشكل مستمر</w:t>
      </w:r>
      <w:r w:rsidR="004750F2" w:rsidRPr="000324B2">
        <w:rPr>
          <w:rFonts w:hint="cs"/>
          <w:rtl/>
        </w:rPr>
        <w:t>،</w:t>
      </w:r>
      <w:r w:rsidR="004750F2" w:rsidRPr="000324B2">
        <w:rPr>
          <w:rtl/>
        </w:rPr>
        <w:t xml:space="preserve"> وعلني لمدة خمس عشرة سنة دون منازعة من الغير</w:t>
      </w:r>
      <w:r w:rsidR="004750F2" w:rsidRPr="000324B2">
        <w:rPr>
          <w:rFonts w:hint="cs"/>
          <w:rtl/>
        </w:rPr>
        <w:t>،</w:t>
      </w:r>
      <w:r w:rsidR="004750F2" w:rsidRPr="000324B2">
        <w:rPr>
          <w:rtl/>
        </w:rPr>
        <w:t xml:space="preserve"> أو المالك الأصلي</w:t>
      </w:r>
      <w:r w:rsidR="004750F2" w:rsidRPr="000324B2">
        <w:rPr>
          <w:rFonts w:hint="cs"/>
          <w:rtl/>
        </w:rPr>
        <w:t>،</w:t>
      </w:r>
      <w:r w:rsidR="004750F2" w:rsidRPr="000324B2">
        <w:rPr>
          <w:rtl/>
        </w:rPr>
        <w:t xml:space="preserve"> </w:t>
      </w:r>
      <w:r w:rsidR="004750F2" w:rsidRPr="000324B2">
        <w:rPr>
          <w:rFonts w:hint="cs"/>
          <w:rtl/>
        </w:rPr>
        <w:t>و</w:t>
      </w:r>
      <w:r w:rsidR="004750F2" w:rsidRPr="000324B2">
        <w:rPr>
          <w:rtl/>
        </w:rPr>
        <w:t>ي</w:t>
      </w:r>
      <w:r w:rsidR="004750F2" w:rsidRPr="000324B2">
        <w:rPr>
          <w:rFonts w:hint="cs"/>
          <w:rtl/>
        </w:rPr>
        <w:t>قوم هذا التقادم على شروط</w:t>
      </w:r>
      <w:r w:rsidR="004750F2" w:rsidRPr="000324B2">
        <w:rPr>
          <w:rtl/>
        </w:rPr>
        <w:t xml:space="preserve"> محددة يجب توافرها في الحيازة</w:t>
      </w:r>
      <w:r w:rsidR="004750F2" w:rsidRPr="000324B2">
        <w:rPr>
          <w:rFonts w:hint="cs"/>
          <w:rtl/>
        </w:rPr>
        <w:t>،</w:t>
      </w:r>
      <w:r w:rsidR="004750F2" w:rsidRPr="000324B2">
        <w:rPr>
          <w:rtl/>
        </w:rPr>
        <w:t xml:space="preserve"> مثل النية في التملك، والعلنية، وعدم وجود منازعة قانونية من قبل المالك الأصلي خلال هذه الفترة</w:t>
      </w:r>
      <w:r w:rsidR="004750F2">
        <w:rPr>
          <w:rFonts w:hint="cs"/>
          <w:rtl/>
        </w:rPr>
        <w:t>.</w:t>
      </w:r>
    </w:p>
    <w:p w14:paraId="0BC96B33" w14:textId="5F30FFAB" w:rsidR="004750F2" w:rsidRDefault="008F5906" w:rsidP="004750F2">
      <w:pPr>
        <w:rPr>
          <w:rtl/>
        </w:rPr>
      </w:pPr>
      <w:r>
        <w:rPr>
          <w:rFonts w:hint="cs"/>
          <w:rtl/>
        </w:rPr>
        <w:t>سادسا</w:t>
      </w:r>
      <w:r w:rsidR="004750F2">
        <w:rPr>
          <w:rFonts w:hint="cs"/>
          <w:rtl/>
        </w:rPr>
        <w:t xml:space="preserve">: أن </w:t>
      </w:r>
      <w:r w:rsidR="004750F2" w:rsidRPr="000324B2">
        <w:rPr>
          <w:rtl/>
        </w:rPr>
        <w:t>التقادم المكسب يساهم في استقرار الحقوق</w:t>
      </w:r>
      <w:r w:rsidR="004750F2" w:rsidRPr="000324B2">
        <w:rPr>
          <w:rFonts w:hint="cs"/>
          <w:rtl/>
        </w:rPr>
        <w:t>،</w:t>
      </w:r>
      <w:r w:rsidR="004750F2" w:rsidRPr="000324B2">
        <w:rPr>
          <w:rtl/>
        </w:rPr>
        <w:t xml:space="preserve"> والمراكز القانونية من خلال تحديد فترة زمنية معينة يتمكن خلالها الأشخاص من الاعتراض على حيازة الغير، ويمنع المنازعات القضائية التي قد تنشأ بعد فترة طويلة من الزمن بخصوص ملكية العقارات</w:t>
      </w:r>
      <w:r w:rsidR="004750F2" w:rsidRPr="000324B2">
        <w:rPr>
          <w:rFonts w:hint="cs"/>
          <w:rtl/>
        </w:rPr>
        <w:t>،</w:t>
      </w:r>
      <w:r w:rsidR="004750F2" w:rsidRPr="000324B2">
        <w:rPr>
          <w:rtl/>
        </w:rPr>
        <w:t xml:space="preserve"> أو المنقولات، ويوفر الحماية القانونية للحائزين الذين يتصرفون بحسن نية</w:t>
      </w:r>
      <w:r w:rsidR="004750F2" w:rsidRPr="000324B2">
        <w:rPr>
          <w:rFonts w:hint="cs"/>
          <w:rtl/>
        </w:rPr>
        <w:t>،</w:t>
      </w:r>
      <w:r w:rsidR="004750F2" w:rsidRPr="000324B2">
        <w:rPr>
          <w:rtl/>
        </w:rPr>
        <w:t xml:space="preserve"> ويستثمرون في تحسين العقار</w:t>
      </w:r>
      <w:r w:rsidR="004750F2" w:rsidRPr="000324B2">
        <w:rPr>
          <w:rFonts w:hint="cs"/>
          <w:rtl/>
        </w:rPr>
        <w:t>،</w:t>
      </w:r>
      <w:r w:rsidR="004750F2" w:rsidRPr="000324B2">
        <w:rPr>
          <w:rtl/>
        </w:rPr>
        <w:t xml:space="preserve"> أو المنقول موضوع الحيازة</w:t>
      </w:r>
      <w:r w:rsidR="004750F2">
        <w:rPr>
          <w:rFonts w:hint="cs"/>
          <w:rtl/>
        </w:rPr>
        <w:t>.</w:t>
      </w:r>
    </w:p>
    <w:p w14:paraId="49224923" w14:textId="6553DD03" w:rsidR="004750F2" w:rsidRDefault="008F5906" w:rsidP="004750F2">
      <w:pPr>
        <w:rPr>
          <w:rtl/>
        </w:rPr>
      </w:pPr>
      <w:r>
        <w:rPr>
          <w:rFonts w:hint="cs"/>
          <w:rtl/>
        </w:rPr>
        <w:t>سابعا</w:t>
      </w:r>
      <w:r w:rsidR="004750F2">
        <w:rPr>
          <w:rFonts w:hint="cs"/>
          <w:rtl/>
        </w:rPr>
        <w:t>: أن</w:t>
      </w:r>
      <w:r w:rsidR="004750F2" w:rsidRPr="000324B2">
        <w:rPr>
          <w:rFonts w:hint="cs"/>
          <w:rtl/>
        </w:rPr>
        <w:t xml:space="preserve"> </w:t>
      </w:r>
      <w:r w:rsidR="004750F2" w:rsidRPr="000324B2">
        <w:rPr>
          <w:rtl/>
        </w:rPr>
        <w:t xml:space="preserve">التقادم </w:t>
      </w:r>
      <w:r w:rsidR="004750F2" w:rsidRPr="000324B2">
        <w:rPr>
          <w:rFonts w:hint="cs"/>
          <w:rtl/>
        </w:rPr>
        <w:t>في ا</w:t>
      </w:r>
      <w:r w:rsidR="004750F2" w:rsidRPr="000324B2">
        <w:rPr>
          <w:rtl/>
        </w:rPr>
        <w:t>لأوراق التجارية</w:t>
      </w:r>
      <w:r w:rsidR="008D42C4">
        <w:rPr>
          <w:rFonts w:hint="cs"/>
          <w:rtl/>
        </w:rPr>
        <w:t>؛</w:t>
      </w:r>
      <w:r w:rsidR="004750F2" w:rsidRPr="000324B2">
        <w:rPr>
          <w:rtl/>
        </w:rPr>
        <w:t xml:space="preserve"> مثل الشيكات في النظام السعودي</w:t>
      </w:r>
      <w:r w:rsidR="004750F2">
        <w:rPr>
          <w:rFonts w:hint="cs"/>
          <w:rtl/>
        </w:rPr>
        <w:t xml:space="preserve"> يهدف</w:t>
      </w:r>
      <w:r w:rsidR="004750F2" w:rsidRPr="000324B2">
        <w:rPr>
          <w:rtl/>
        </w:rPr>
        <w:t xml:space="preserve"> إلى تنظيم المطالبات</w:t>
      </w:r>
      <w:r w:rsidR="004750F2" w:rsidRPr="000324B2">
        <w:rPr>
          <w:rFonts w:hint="cs"/>
          <w:rtl/>
        </w:rPr>
        <w:t>،</w:t>
      </w:r>
      <w:r w:rsidR="004750F2" w:rsidRPr="000324B2">
        <w:rPr>
          <w:rtl/>
        </w:rPr>
        <w:t xml:space="preserve"> والالتزامات المالية</w:t>
      </w:r>
      <w:r w:rsidR="004750F2" w:rsidRPr="000324B2">
        <w:rPr>
          <w:rFonts w:hint="cs"/>
          <w:rtl/>
        </w:rPr>
        <w:t>،</w:t>
      </w:r>
      <w:r w:rsidR="004750F2" w:rsidRPr="000324B2">
        <w:rPr>
          <w:rtl/>
        </w:rPr>
        <w:t xml:space="preserve"> وحماية الأطراف من المطالبات الباطلة</w:t>
      </w:r>
      <w:r w:rsidR="004750F2" w:rsidRPr="000324B2">
        <w:rPr>
          <w:rFonts w:hint="cs"/>
          <w:rtl/>
        </w:rPr>
        <w:t>،</w:t>
      </w:r>
      <w:r w:rsidR="004750F2" w:rsidRPr="000324B2">
        <w:rPr>
          <w:rtl/>
        </w:rPr>
        <w:t xml:space="preserve"> أو التي قد يصعب إثباتها بعد مرور وقت طويل</w:t>
      </w:r>
      <w:r w:rsidR="004750F2" w:rsidRPr="000324B2">
        <w:rPr>
          <w:rFonts w:hint="cs"/>
          <w:rtl/>
        </w:rPr>
        <w:t>،</w:t>
      </w:r>
      <w:r w:rsidR="004750F2" w:rsidRPr="000324B2">
        <w:rPr>
          <w:rtl/>
        </w:rPr>
        <w:t xml:space="preserve"> على سبيل المثال، يسقط حق حامل الشيك في المطالبة بقيمته إذا لم يتخذ الإجراءات القانونية اللازمة خلال فترة محددة، مما يضمن استقرار المعاملات المالية</w:t>
      </w:r>
      <w:r w:rsidR="004750F2">
        <w:rPr>
          <w:rFonts w:hint="cs"/>
          <w:rtl/>
        </w:rPr>
        <w:t>.</w:t>
      </w:r>
    </w:p>
    <w:p w14:paraId="435C93BD" w14:textId="685C0B67" w:rsidR="004750F2" w:rsidRDefault="008F5906" w:rsidP="004750F2">
      <w:pPr>
        <w:rPr>
          <w:rtl/>
        </w:rPr>
      </w:pPr>
      <w:r>
        <w:rPr>
          <w:rFonts w:hint="cs"/>
          <w:rtl/>
        </w:rPr>
        <w:t>ثامنا</w:t>
      </w:r>
      <w:r w:rsidR="004750F2">
        <w:rPr>
          <w:rFonts w:hint="cs"/>
          <w:rtl/>
        </w:rPr>
        <w:t>: أن إقرار مبدأ التقادم ليس من النظام العام، رغم</w:t>
      </w:r>
      <w:r w:rsidR="004750F2" w:rsidRPr="00226171">
        <w:rPr>
          <w:rtl/>
        </w:rPr>
        <w:t xml:space="preserve"> أن الضرورات الاجتماعية تقضي بوضع حد زمني لاستعمال الحقوق</w:t>
      </w:r>
      <w:r w:rsidR="004750F2">
        <w:rPr>
          <w:rFonts w:hint="cs"/>
          <w:rtl/>
        </w:rPr>
        <w:t>،</w:t>
      </w:r>
      <w:r w:rsidR="004750F2" w:rsidRPr="00226171">
        <w:rPr>
          <w:rtl/>
        </w:rPr>
        <w:t xml:space="preserve"> </w:t>
      </w:r>
      <w:r w:rsidR="004750F2" w:rsidRPr="00226171">
        <w:rPr>
          <w:rFonts w:hint="cs"/>
          <w:rtl/>
        </w:rPr>
        <w:t>والدعاوى</w:t>
      </w:r>
      <w:r w:rsidR="004750F2">
        <w:rPr>
          <w:rFonts w:ascii="Traditional Arabic" w:eastAsia="Calibri" w:hAnsi="Traditional Arabic" w:cs="Traditional Arabic" w:hint="cs"/>
          <w:sz w:val="40"/>
          <w:szCs w:val="40"/>
          <w:rtl/>
        </w:rPr>
        <w:t xml:space="preserve">، </w:t>
      </w:r>
      <w:r w:rsidR="004750F2">
        <w:rPr>
          <w:rFonts w:ascii="Traditional Arabic" w:eastAsia="Calibri" w:hAnsi="Traditional Arabic" w:cs="Traditional Arabic" w:hint="cs"/>
          <w:sz w:val="32"/>
          <w:szCs w:val="32"/>
          <w:rtl/>
        </w:rPr>
        <w:t>و</w:t>
      </w:r>
      <w:r w:rsidR="004750F2" w:rsidRPr="001C5175">
        <w:rPr>
          <w:rFonts w:ascii="Traditional Arabic" w:eastAsia="Calibri" w:hAnsi="Traditional Arabic" w:cs="Traditional Arabic" w:hint="cs"/>
          <w:sz w:val="32"/>
          <w:szCs w:val="32"/>
          <w:rtl/>
        </w:rPr>
        <w:t>ينبني على ذلك أنه</w:t>
      </w:r>
      <w:r w:rsidR="004750F2" w:rsidRPr="001C5175">
        <w:rPr>
          <w:rtl/>
        </w:rPr>
        <w:t xml:space="preserve"> لا يجوز للقاضي</w:t>
      </w:r>
      <w:r w:rsidR="004750F2" w:rsidRPr="001C5175">
        <w:rPr>
          <w:rFonts w:hint="cs"/>
          <w:rtl/>
        </w:rPr>
        <w:t>،</w:t>
      </w:r>
      <w:r w:rsidR="004750F2" w:rsidRPr="001C5175">
        <w:rPr>
          <w:rtl/>
        </w:rPr>
        <w:t xml:space="preserve"> أو المحكمة أن تقضي به من تلقاء </w:t>
      </w:r>
      <w:r w:rsidR="004750F2" w:rsidRPr="001C5175">
        <w:rPr>
          <w:rFonts w:hint="cs"/>
          <w:rtl/>
        </w:rPr>
        <w:t>نفسها</w:t>
      </w:r>
      <w:r w:rsidR="004750F2">
        <w:rPr>
          <w:rFonts w:hint="cs"/>
          <w:rtl/>
        </w:rPr>
        <w:t>.</w:t>
      </w:r>
      <w:r w:rsidR="004750F2" w:rsidRPr="00226171">
        <w:rPr>
          <w:rtl/>
        </w:rPr>
        <w:t xml:space="preserve"> </w:t>
      </w:r>
    </w:p>
    <w:p w14:paraId="519C9333" w14:textId="730473C1" w:rsidR="004750F2" w:rsidRDefault="008F5906" w:rsidP="004750F2">
      <w:pPr>
        <w:rPr>
          <w:rtl/>
        </w:rPr>
      </w:pPr>
      <w:r>
        <w:rPr>
          <w:rFonts w:hint="cs"/>
          <w:rtl/>
        </w:rPr>
        <w:t>تاسعا</w:t>
      </w:r>
      <w:r w:rsidR="004750F2">
        <w:rPr>
          <w:rFonts w:hint="cs"/>
          <w:rtl/>
        </w:rPr>
        <w:t>: أن</w:t>
      </w:r>
      <w:r w:rsidR="004750F2" w:rsidRPr="001C5175">
        <w:rPr>
          <w:rtl/>
        </w:rPr>
        <w:t xml:space="preserve"> الشريعة </w:t>
      </w:r>
      <w:r w:rsidR="004750F2" w:rsidRPr="001C5175">
        <w:rPr>
          <w:rFonts w:hint="cs"/>
          <w:rtl/>
        </w:rPr>
        <w:t xml:space="preserve">الإسلامية </w:t>
      </w:r>
      <w:r w:rsidR="004750F2" w:rsidRPr="00D75F4A">
        <w:rPr>
          <w:rFonts w:hint="cs"/>
          <w:rtl/>
        </w:rPr>
        <w:t>بصفة</w:t>
      </w:r>
      <w:r w:rsidR="004750F2" w:rsidRPr="00D75F4A">
        <w:rPr>
          <w:rtl/>
        </w:rPr>
        <w:t xml:space="preserve"> عامة لا تأخذ بمبدأ التقادم، إلا أنها تأخذ بنظرية منع سماع الدعوى، وذلك بناءً على ما هو راجح في المذهب المالكي</w:t>
      </w:r>
      <w:r w:rsidR="004750F2" w:rsidRPr="00D75F4A">
        <w:rPr>
          <w:rFonts w:hint="cs"/>
          <w:rtl/>
        </w:rPr>
        <w:t>،</w:t>
      </w:r>
      <w:r w:rsidR="004750F2" w:rsidRPr="00D75F4A">
        <w:rPr>
          <w:rtl/>
        </w:rPr>
        <w:t xml:space="preserve"> والمذهب </w:t>
      </w:r>
      <w:r w:rsidR="004750F2" w:rsidRPr="00D75F4A">
        <w:rPr>
          <w:rFonts w:hint="cs"/>
          <w:rtl/>
        </w:rPr>
        <w:t>الحنفي</w:t>
      </w:r>
      <w:r w:rsidR="007D0B5C">
        <w:rPr>
          <w:rFonts w:hint="cs"/>
          <w:rtl/>
        </w:rPr>
        <w:t>،</w:t>
      </w:r>
      <w:r w:rsidR="004750F2" w:rsidRPr="00D75F4A">
        <w:rPr>
          <w:rFonts w:hint="cs"/>
          <w:rtl/>
        </w:rPr>
        <w:t xml:space="preserve"> ويعود</w:t>
      </w:r>
      <w:r w:rsidR="004750F2" w:rsidRPr="00D75F4A">
        <w:rPr>
          <w:rtl/>
        </w:rPr>
        <w:t xml:space="preserve"> الأخذ بقاعدة عدم سماع الدعوى إلى الاستحسان الذي يهدف إلى وضع حد زمني تنتهي عنده المنازعات بهدف استقرار المعاملات</w:t>
      </w:r>
      <w:r w:rsidR="004750F2" w:rsidRPr="00D75F4A">
        <w:rPr>
          <w:rFonts w:hint="cs"/>
          <w:rtl/>
        </w:rPr>
        <w:t>،</w:t>
      </w:r>
      <w:r w:rsidR="004750F2" w:rsidRPr="00D75F4A">
        <w:rPr>
          <w:rtl/>
        </w:rPr>
        <w:t xml:space="preserve"> كما أنه يستند في ذلك على السلطة المعترف بها لولي الأمر في تخصيص القضاء زمنياً</w:t>
      </w:r>
      <w:r w:rsidR="004750F2" w:rsidRPr="00D75F4A">
        <w:rPr>
          <w:rFonts w:hint="cs"/>
          <w:rtl/>
        </w:rPr>
        <w:t>،</w:t>
      </w:r>
      <w:r w:rsidR="004750F2" w:rsidRPr="00D75F4A">
        <w:rPr>
          <w:rtl/>
        </w:rPr>
        <w:t xml:space="preserve"> ومكانياً</w:t>
      </w:r>
      <w:r w:rsidR="004750F2">
        <w:rPr>
          <w:rFonts w:hint="cs"/>
          <w:rtl/>
        </w:rPr>
        <w:t>.</w:t>
      </w:r>
    </w:p>
    <w:p w14:paraId="7EC7E7B0" w14:textId="0346BDEE" w:rsidR="004750F2" w:rsidRDefault="004750F2" w:rsidP="004750F2">
      <w:pPr>
        <w:rPr>
          <w:rtl/>
        </w:rPr>
      </w:pPr>
      <w:r>
        <w:rPr>
          <w:rFonts w:hint="cs"/>
          <w:rtl/>
        </w:rPr>
        <w:t xml:space="preserve"> </w:t>
      </w:r>
      <w:r w:rsidR="008F5906">
        <w:rPr>
          <w:rFonts w:hint="cs"/>
          <w:rtl/>
        </w:rPr>
        <w:t>عاشرا</w:t>
      </w:r>
      <w:r>
        <w:rPr>
          <w:rFonts w:hint="cs"/>
          <w:rtl/>
        </w:rPr>
        <w:t>: أن</w:t>
      </w:r>
      <w:r w:rsidRPr="0041008B">
        <w:rPr>
          <w:rtl/>
        </w:rPr>
        <w:t xml:space="preserve"> لجنة الأوراق التجارية في الرياض</w:t>
      </w:r>
      <w:r>
        <w:rPr>
          <w:rFonts w:hint="cs"/>
          <w:rtl/>
        </w:rPr>
        <w:t xml:space="preserve"> ذهبت</w:t>
      </w:r>
      <w:r w:rsidRPr="0041008B">
        <w:rPr>
          <w:rtl/>
        </w:rPr>
        <w:t xml:space="preserve"> في قرارها</w:t>
      </w:r>
      <w:r w:rsidRPr="0041008B">
        <w:rPr>
          <w:rFonts w:hint="cs"/>
          <w:rtl/>
        </w:rPr>
        <w:t xml:space="preserve"> رقم:( </w:t>
      </w:r>
      <w:r w:rsidRPr="0041008B">
        <w:rPr>
          <w:rtl/>
        </w:rPr>
        <w:t>99/8 في 1399/5/3</w:t>
      </w:r>
      <w:r w:rsidRPr="0041008B">
        <w:rPr>
          <w:rFonts w:hint="cs"/>
          <w:rtl/>
        </w:rPr>
        <w:t>ه)</w:t>
      </w:r>
      <w:r w:rsidRPr="0041008B">
        <w:rPr>
          <w:rtl/>
        </w:rPr>
        <w:t>،</w:t>
      </w:r>
      <w:r w:rsidRPr="0041008B">
        <w:rPr>
          <w:rFonts w:hint="cs"/>
          <w:rtl/>
        </w:rPr>
        <w:t xml:space="preserve"> </w:t>
      </w:r>
      <w:r w:rsidRPr="0041008B">
        <w:rPr>
          <w:rtl/>
        </w:rPr>
        <w:t>وكذلك القرار رقم</w:t>
      </w:r>
      <w:r w:rsidRPr="0041008B">
        <w:rPr>
          <w:rFonts w:hint="cs"/>
          <w:rtl/>
        </w:rPr>
        <w:t>:(</w:t>
      </w:r>
      <w:r w:rsidRPr="0041008B">
        <w:rPr>
          <w:rtl/>
        </w:rPr>
        <w:t xml:space="preserve"> 1407/128</w:t>
      </w:r>
      <w:r w:rsidRPr="0041008B">
        <w:rPr>
          <w:rFonts w:hint="cs"/>
          <w:rtl/>
        </w:rPr>
        <w:t xml:space="preserve">)، </w:t>
      </w:r>
      <w:r w:rsidRPr="0041008B">
        <w:rPr>
          <w:rtl/>
        </w:rPr>
        <w:t xml:space="preserve">وتاريخ 1407/6/4هـ </w:t>
      </w:r>
      <w:r w:rsidRPr="0041008B">
        <w:rPr>
          <w:rFonts w:hint="cs"/>
          <w:rtl/>
        </w:rPr>
        <w:t>إلى اعتبار</w:t>
      </w:r>
      <w:r w:rsidRPr="0041008B">
        <w:rPr>
          <w:rtl/>
        </w:rPr>
        <w:t xml:space="preserve"> قاعدة</w:t>
      </w:r>
      <w:r w:rsidRPr="0041008B">
        <w:rPr>
          <w:rFonts w:hint="cs"/>
          <w:rtl/>
        </w:rPr>
        <w:t xml:space="preserve"> أن</w:t>
      </w:r>
      <w:r w:rsidRPr="0041008B">
        <w:rPr>
          <w:rtl/>
        </w:rPr>
        <w:t xml:space="preserve"> منع سماع الدعوى تتعلق بالنظام العام، ومن ثم</w:t>
      </w:r>
      <w:r w:rsidR="007D0B5C">
        <w:rPr>
          <w:rFonts w:hint="cs"/>
          <w:rtl/>
        </w:rPr>
        <w:t>،</w:t>
      </w:r>
      <w:r w:rsidRPr="0041008B">
        <w:rPr>
          <w:rtl/>
        </w:rPr>
        <w:t xml:space="preserve"> فإن على المحكمة أن تثيرها من تلقاء نفسها، لكن هذا الاتجاه الذي تبنته اللجنة ليس له ما يسنده سواء من النصوص القانونية</w:t>
      </w:r>
      <w:r w:rsidRPr="0041008B">
        <w:rPr>
          <w:rFonts w:hint="cs"/>
          <w:rtl/>
        </w:rPr>
        <w:t>،</w:t>
      </w:r>
      <w:r w:rsidRPr="0041008B">
        <w:rPr>
          <w:rtl/>
        </w:rPr>
        <w:t xml:space="preserve"> أو السوابق القضائية، بل إن اعتبار سماع الدعوى</w:t>
      </w:r>
      <w:r w:rsidRPr="0041008B">
        <w:rPr>
          <w:rFonts w:hint="cs"/>
          <w:rtl/>
        </w:rPr>
        <w:t xml:space="preserve"> غير</w:t>
      </w:r>
      <w:r w:rsidRPr="0041008B">
        <w:rPr>
          <w:rtl/>
        </w:rPr>
        <w:t xml:space="preserve"> متعلق بالنظام العام</w:t>
      </w:r>
      <w:r w:rsidR="007D0B5C">
        <w:rPr>
          <w:rFonts w:hint="cs"/>
          <w:rtl/>
        </w:rPr>
        <w:t xml:space="preserve"> هو الراجح</w:t>
      </w:r>
      <w:r w:rsidRPr="0041008B">
        <w:rPr>
          <w:rFonts w:hint="cs"/>
          <w:rtl/>
        </w:rPr>
        <w:t>،</w:t>
      </w:r>
      <w:r w:rsidRPr="0041008B">
        <w:rPr>
          <w:rtl/>
        </w:rPr>
        <w:t xml:space="preserve"> وأن</w:t>
      </w:r>
      <w:r w:rsidR="007D0B5C">
        <w:rPr>
          <w:rFonts w:hint="cs"/>
          <w:rtl/>
        </w:rPr>
        <w:t>عدم</w:t>
      </w:r>
      <w:r w:rsidRPr="0041008B">
        <w:rPr>
          <w:rtl/>
        </w:rPr>
        <w:t xml:space="preserve"> إثارته </w:t>
      </w:r>
      <w:r w:rsidR="007D0B5C">
        <w:rPr>
          <w:rFonts w:hint="cs"/>
          <w:rtl/>
        </w:rPr>
        <w:t xml:space="preserve">من المحكمة </w:t>
      </w:r>
      <w:r w:rsidRPr="0041008B">
        <w:rPr>
          <w:rtl/>
        </w:rPr>
        <w:t>من تلقاء نفسها أدعى إلى القبول</w:t>
      </w:r>
      <w:r>
        <w:rPr>
          <w:rFonts w:hint="cs"/>
          <w:rtl/>
        </w:rPr>
        <w:t>.</w:t>
      </w:r>
    </w:p>
    <w:p w14:paraId="561034CF" w14:textId="4B838091" w:rsidR="004750F2" w:rsidRDefault="008F5906" w:rsidP="004750F2">
      <w:pPr>
        <w:rPr>
          <w:rtl/>
        </w:rPr>
      </w:pPr>
      <w:r>
        <w:rPr>
          <w:rFonts w:hint="cs"/>
          <w:rtl/>
        </w:rPr>
        <w:lastRenderedPageBreak/>
        <w:t>حادي عشر</w:t>
      </w:r>
      <w:r w:rsidR="004750F2">
        <w:rPr>
          <w:rFonts w:hint="cs"/>
          <w:rtl/>
        </w:rPr>
        <w:t>:</w:t>
      </w:r>
      <w:r w:rsidR="004750F2" w:rsidRPr="0041008B">
        <w:rPr>
          <w:rFonts w:ascii="Traditional Arabic" w:eastAsia="Calibri" w:hAnsi="Traditional Arabic" w:cs="Traditional Arabic"/>
          <w:sz w:val="40"/>
          <w:szCs w:val="40"/>
          <w:rtl/>
        </w:rPr>
        <w:t xml:space="preserve"> </w:t>
      </w:r>
      <w:r w:rsidR="004750F2" w:rsidRPr="0041008B">
        <w:rPr>
          <w:rtl/>
        </w:rPr>
        <w:t xml:space="preserve">أن المنظم في النظام السعودي استخدم عبارة </w:t>
      </w:r>
      <w:r w:rsidR="004750F2" w:rsidRPr="0041008B">
        <w:rPr>
          <w:rFonts w:hint="cs"/>
          <w:rtl/>
        </w:rPr>
        <w:t>(</w:t>
      </w:r>
      <w:r w:rsidR="004750F2" w:rsidRPr="0041008B">
        <w:rPr>
          <w:rtl/>
        </w:rPr>
        <w:t>تسقط</w:t>
      </w:r>
      <w:r w:rsidR="004750F2" w:rsidRPr="0041008B">
        <w:rPr>
          <w:rFonts w:hint="cs"/>
          <w:rtl/>
        </w:rPr>
        <w:t>)</w:t>
      </w:r>
      <w:r w:rsidR="004750F2" w:rsidRPr="0041008B">
        <w:rPr>
          <w:rtl/>
        </w:rPr>
        <w:t xml:space="preserve"> في الحالات التي يقصد فيها سقوط المطالبة بالحق بعد مضي فترة التقادم المقررة نظاماً، كما استخدم عبارة </w:t>
      </w:r>
      <w:r w:rsidR="004750F2" w:rsidRPr="0041008B">
        <w:rPr>
          <w:rFonts w:hint="cs"/>
          <w:rtl/>
        </w:rPr>
        <w:t>(</w:t>
      </w:r>
      <w:r w:rsidR="004750F2" w:rsidRPr="0041008B">
        <w:rPr>
          <w:rtl/>
        </w:rPr>
        <w:t>يفقد الحامل</w:t>
      </w:r>
      <w:r w:rsidR="004750F2" w:rsidRPr="0041008B">
        <w:rPr>
          <w:rFonts w:hint="cs"/>
          <w:rtl/>
        </w:rPr>
        <w:t>)</w:t>
      </w:r>
      <w:r w:rsidR="004750F2" w:rsidRPr="0041008B">
        <w:rPr>
          <w:rtl/>
        </w:rPr>
        <w:t xml:space="preserve"> في الفصل التاسع الخاص بالسقوط، كما استخدم عبارة </w:t>
      </w:r>
      <w:r w:rsidR="004750F2" w:rsidRPr="0041008B">
        <w:rPr>
          <w:rFonts w:hint="cs"/>
          <w:rtl/>
        </w:rPr>
        <w:t>(</w:t>
      </w:r>
      <w:r w:rsidR="004750F2" w:rsidRPr="0041008B">
        <w:rPr>
          <w:rtl/>
        </w:rPr>
        <w:t>لا تسمع الدعوى</w:t>
      </w:r>
      <w:r w:rsidR="004750F2" w:rsidRPr="0041008B">
        <w:rPr>
          <w:rFonts w:hint="cs"/>
          <w:rtl/>
        </w:rPr>
        <w:t>)</w:t>
      </w:r>
      <w:r w:rsidR="004750F2" w:rsidRPr="0041008B">
        <w:rPr>
          <w:rtl/>
        </w:rPr>
        <w:t xml:space="preserve"> في الفصل العاشر من نظام الأوراق التجارية، ولا شك أنه قصد بذلك التمييز بين السقوط</w:t>
      </w:r>
      <w:r w:rsidR="004750F2" w:rsidRPr="0041008B">
        <w:rPr>
          <w:rFonts w:hint="cs"/>
          <w:rtl/>
        </w:rPr>
        <w:t>،</w:t>
      </w:r>
      <w:r w:rsidR="004750F2" w:rsidRPr="0041008B">
        <w:rPr>
          <w:rtl/>
        </w:rPr>
        <w:t xml:space="preserve"> وعدم سماع الدعوى</w:t>
      </w:r>
      <w:r w:rsidR="004750F2" w:rsidRPr="0041008B">
        <w:t>.</w:t>
      </w:r>
    </w:p>
    <w:p w14:paraId="46C6DC5D" w14:textId="6E9660D4" w:rsidR="004750F2" w:rsidRDefault="008F5906" w:rsidP="004750F2">
      <w:pPr>
        <w:rPr>
          <w:rtl/>
        </w:rPr>
      </w:pPr>
      <w:r>
        <w:rPr>
          <w:rFonts w:hint="cs"/>
          <w:rtl/>
        </w:rPr>
        <w:t>ثاني</w:t>
      </w:r>
      <w:r w:rsidR="004750F2">
        <w:rPr>
          <w:rFonts w:hint="cs"/>
          <w:rtl/>
        </w:rPr>
        <w:t xml:space="preserve"> عشر:</w:t>
      </w:r>
      <w:r w:rsidR="004750F2" w:rsidRPr="0041008B">
        <w:rPr>
          <w:rFonts w:ascii="Traditional Arabic" w:eastAsia="Calibri" w:hAnsi="Traditional Arabic" w:cs="Traditional Arabic"/>
          <w:sz w:val="40"/>
          <w:szCs w:val="40"/>
          <w:rtl/>
        </w:rPr>
        <w:t xml:space="preserve"> </w:t>
      </w:r>
      <w:r w:rsidR="004750F2" w:rsidRPr="0041008B">
        <w:rPr>
          <w:rtl/>
        </w:rPr>
        <w:t>أ</w:t>
      </w:r>
      <w:r w:rsidR="004750F2">
        <w:rPr>
          <w:rFonts w:hint="cs"/>
          <w:rtl/>
        </w:rPr>
        <w:t>ن</w:t>
      </w:r>
      <w:r w:rsidR="004750F2" w:rsidRPr="0041008B">
        <w:rPr>
          <w:rtl/>
        </w:rPr>
        <w:t xml:space="preserve"> المنظم في النظام السعودي</w:t>
      </w:r>
      <w:r w:rsidR="004750F2">
        <w:rPr>
          <w:rFonts w:hint="cs"/>
          <w:rtl/>
        </w:rPr>
        <w:t xml:space="preserve"> أخذ</w:t>
      </w:r>
      <w:r w:rsidR="004750F2" w:rsidRPr="0041008B">
        <w:rPr>
          <w:rtl/>
        </w:rPr>
        <w:t xml:space="preserve"> بقاعدة عدم سماع الدعوى</w:t>
      </w:r>
      <w:r w:rsidR="004750F2" w:rsidRPr="0041008B">
        <w:rPr>
          <w:rFonts w:hint="cs"/>
          <w:rtl/>
        </w:rPr>
        <w:t xml:space="preserve">، </w:t>
      </w:r>
      <w:r w:rsidR="004750F2" w:rsidRPr="0041008B">
        <w:rPr>
          <w:rtl/>
        </w:rPr>
        <w:t>التي هي تعتبر أقل صرامة من عبارة التقادم</w:t>
      </w:r>
      <w:r w:rsidR="004750F2" w:rsidRPr="0041008B">
        <w:rPr>
          <w:rFonts w:hint="cs"/>
          <w:rtl/>
        </w:rPr>
        <w:t>،</w:t>
      </w:r>
      <w:r w:rsidR="004750F2" w:rsidRPr="0041008B">
        <w:rPr>
          <w:rtl/>
        </w:rPr>
        <w:t xml:space="preserve"> وكذلك عبارة السقوط</w:t>
      </w:r>
      <w:r w:rsidR="004750F2">
        <w:rPr>
          <w:rFonts w:hint="cs"/>
          <w:rtl/>
        </w:rPr>
        <w:t>.</w:t>
      </w:r>
    </w:p>
    <w:p w14:paraId="5600BC97" w14:textId="65C89C2B" w:rsidR="004750F2" w:rsidRDefault="008F5906" w:rsidP="004750F2">
      <w:pPr>
        <w:rPr>
          <w:rtl/>
        </w:rPr>
      </w:pPr>
      <w:r>
        <w:rPr>
          <w:rFonts w:hint="cs"/>
          <w:rtl/>
        </w:rPr>
        <w:t>ثاني</w:t>
      </w:r>
      <w:r w:rsidR="004750F2">
        <w:rPr>
          <w:rFonts w:hint="cs"/>
          <w:rtl/>
        </w:rPr>
        <w:t xml:space="preserve"> عشر:</w:t>
      </w:r>
      <w:r w:rsidR="004750F2" w:rsidRPr="0041008B">
        <w:rPr>
          <w:rFonts w:ascii="Traditional Arabic" w:eastAsia="Calibri" w:hAnsi="Traditional Arabic" w:cs="Traditional Arabic"/>
          <w:sz w:val="40"/>
          <w:szCs w:val="40"/>
          <w:rtl/>
        </w:rPr>
        <w:t xml:space="preserve"> </w:t>
      </w:r>
      <w:r w:rsidR="004750F2" w:rsidRPr="0041008B">
        <w:rPr>
          <w:rtl/>
        </w:rPr>
        <w:t>إن قرار مجلس الوزراء رقم</w:t>
      </w:r>
      <w:r w:rsidR="004750F2" w:rsidRPr="0041008B">
        <w:rPr>
          <w:rFonts w:hint="cs"/>
          <w:rtl/>
        </w:rPr>
        <w:t>:</w:t>
      </w:r>
      <w:r w:rsidR="004750F2" w:rsidRPr="0041008B">
        <w:rPr>
          <w:rtl/>
        </w:rPr>
        <w:t xml:space="preserve"> (986)</w:t>
      </w:r>
      <w:r w:rsidR="004750F2" w:rsidRPr="0041008B">
        <w:rPr>
          <w:rFonts w:hint="cs"/>
          <w:rtl/>
        </w:rPr>
        <w:t>،</w:t>
      </w:r>
      <w:r w:rsidR="004750F2" w:rsidRPr="0041008B">
        <w:rPr>
          <w:rtl/>
        </w:rPr>
        <w:t xml:space="preserve"> وتاريخ 1392/9/16 هـ، الذي قرر سقوط المطالبة تجاه الخزانة العامة بمضي سنتين</w:t>
      </w:r>
      <w:r w:rsidR="00200434">
        <w:rPr>
          <w:rFonts w:hint="cs"/>
          <w:rtl/>
        </w:rPr>
        <w:t>،</w:t>
      </w:r>
      <w:r w:rsidR="004750F2" w:rsidRPr="0041008B">
        <w:rPr>
          <w:rtl/>
        </w:rPr>
        <w:t xml:space="preserve"> فأكثر في الحقوق التي لم تستوف شرطي الدورية</w:t>
      </w:r>
      <w:r w:rsidR="004750F2" w:rsidRPr="0041008B">
        <w:rPr>
          <w:rFonts w:hint="cs"/>
          <w:rtl/>
        </w:rPr>
        <w:t>،</w:t>
      </w:r>
      <w:r w:rsidR="004750F2" w:rsidRPr="0041008B">
        <w:rPr>
          <w:rtl/>
        </w:rPr>
        <w:t xml:space="preserve"> والتجدد، إنما كان إعمال حكمه رهيناً بتوافر شروط </w:t>
      </w:r>
      <w:r w:rsidR="004750F2" w:rsidRPr="0041008B">
        <w:rPr>
          <w:rFonts w:hint="cs"/>
          <w:rtl/>
        </w:rPr>
        <w:t>ثلاثة</w:t>
      </w:r>
      <w:r w:rsidR="00200434">
        <w:rPr>
          <w:rFonts w:hint="cs"/>
          <w:rtl/>
        </w:rPr>
        <w:t>؛</w:t>
      </w:r>
      <w:r w:rsidR="004750F2">
        <w:rPr>
          <w:rFonts w:hint="cs"/>
          <w:rtl/>
        </w:rPr>
        <w:t xml:space="preserve"> هي </w:t>
      </w:r>
      <w:r w:rsidR="004750F2" w:rsidRPr="0041008B">
        <w:rPr>
          <w:rtl/>
        </w:rPr>
        <w:t>أن يكون ثمة حق بصفة راتب</w:t>
      </w:r>
      <w:r w:rsidR="004750F2" w:rsidRPr="0041008B">
        <w:rPr>
          <w:rFonts w:hint="cs"/>
          <w:rtl/>
        </w:rPr>
        <w:t>،</w:t>
      </w:r>
      <w:r w:rsidR="004750F2" w:rsidRPr="0041008B">
        <w:rPr>
          <w:rtl/>
        </w:rPr>
        <w:t xml:space="preserve"> أو ما في حكمه قد نشأ</w:t>
      </w:r>
      <w:r w:rsidR="004750F2" w:rsidRPr="0041008B">
        <w:rPr>
          <w:rFonts w:hint="cs"/>
          <w:rtl/>
        </w:rPr>
        <w:t>،</w:t>
      </w:r>
      <w:r w:rsidR="004750F2" w:rsidRPr="0041008B">
        <w:rPr>
          <w:rtl/>
        </w:rPr>
        <w:t xml:space="preserve"> وتكامل في ذمة الدولة</w:t>
      </w:r>
      <w:r w:rsidR="004750F2">
        <w:rPr>
          <w:rFonts w:hint="cs"/>
          <w:rtl/>
        </w:rPr>
        <w:t xml:space="preserve">، </w:t>
      </w:r>
      <w:r w:rsidR="00200434">
        <w:rPr>
          <w:rFonts w:hint="cs"/>
          <w:rtl/>
        </w:rPr>
        <w:t>و</w:t>
      </w:r>
      <w:r w:rsidR="004750F2" w:rsidRPr="0041008B">
        <w:rPr>
          <w:rtl/>
        </w:rPr>
        <w:t>أن تكون المطالبة بالحق أمراً سهلاً</w:t>
      </w:r>
      <w:r w:rsidR="004750F2" w:rsidRPr="0041008B">
        <w:rPr>
          <w:rFonts w:hint="cs"/>
          <w:rtl/>
        </w:rPr>
        <w:t>،</w:t>
      </w:r>
      <w:r w:rsidR="004750F2" w:rsidRPr="0041008B">
        <w:rPr>
          <w:rtl/>
        </w:rPr>
        <w:t xml:space="preserve"> وميسوراً من جهة </w:t>
      </w:r>
      <w:r w:rsidR="004750F2" w:rsidRPr="0041008B">
        <w:rPr>
          <w:rFonts w:hint="cs"/>
          <w:rtl/>
        </w:rPr>
        <w:t>النظام</w:t>
      </w:r>
      <w:r w:rsidR="004750F2">
        <w:rPr>
          <w:rFonts w:hint="cs"/>
          <w:rtl/>
        </w:rPr>
        <w:t xml:space="preserve">، </w:t>
      </w:r>
      <w:r w:rsidR="00200434">
        <w:rPr>
          <w:rFonts w:hint="cs"/>
          <w:rtl/>
        </w:rPr>
        <w:t>و</w:t>
      </w:r>
      <w:r w:rsidR="004750F2">
        <w:rPr>
          <w:rtl/>
        </w:rPr>
        <w:t>أن</w:t>
      </w:r>
      <w:r w:rsidR="004750F2" w:rsidRPr="0041008B">
        <w:rPr>
          <w:rtl/>
        </w:rPr>
        <w:t xml:space="preserve"> يتخلف صاحب الحق</w:t>
      </w:r>
      <w:r w:rsidR="004750F2" w:rsidRPr="0041008B">
        <w:rPr>
          <w:rFonts w:hint="cs"/>
          <w:rtl/>
        </w:rPr>
        <w:t>،</w:t>
      </w:r>
      <w:r w:rsidR="004750F2" w:rsidRPr="0041008B">
        <w:rPr>
          <w:rtl/>
        </w:rPr>
        <w:t xml:space="preserve"> أو وكيله</w:t>
      </w:r>
      <w:r w:rsidR="004750F2" w:rsidRPr="0041008B">
        <w:rPr>
          <w:rFonts w:hint="cs"/>
          <w:rtl/>
        </w:rPr>
        <w:t>،</w:t>
      </w:r>
      <w:r w:rsidR="004750F2" w:rsidRPr="0041008B">
        <w:rPr>
          <w:rtl/>
        </w:rPr>
        <w:t xml:space="preserve"> أو ورثته عن المطالبة بها مدة سريان التقادم دون أن يكون هناك سبب مشروع حال بينه</w:t>
      </w:r>
      <w:r w:rsidR="004750F2" w:rsidRPr="0041008B">
        <w:rPr>
          <w:rFonts w:hint="cs"/>
          <w:rtl/>
        </w:rPr>
        <w:t>،</w:t>
      </w:r>
      <w:r w:rsidR="004750F2" w:rsidRPr="0041008B">
        <w:rPr>
          <w:rtl/>
        </w:rPr>
        <w:t xml:space="preserve"> وتلك المطالبة</w:t>
      </w:r>
      <w:r w:rsidR="004750F2" w:rsidRPr="0041008B">
        <w:t>.</w:t>
      </w:r>
    </w:p>
    <w:p w14:paraId="754FE0C4" w14:textId="063E65D0" w:rsidR="004750F2" w:rsidRDefault="00773552" w:rsidP="004750F2">
      <w:pPr>
        <w:rPr>
          <w:rtl/>
        </w:rPr>
      </w:pPr>
      <w:r>
        <w:rPr>
          <w:rFonts w:hint="cs"/>
          <w:rtl/>
        </w:rPr>
        <w:t>ثالث</w:t>
      </w:r>
      <w:r w:rsidR="004750F2">
        <w:rPr>
          <w:rFonts w:hint="cs"/>
          <w:rtl/>
        </w:rPr>
        <w:t xml:space="preserve"> عشر: أن مدة التقادم في النظام السعودي تختلف باختلاف مجاله؛ ففي الأوراق التجارية مدة التقادم ثلاث سنوات، وفي الملكية العقارية مدته خمس عشرة سنة.</w:t>
      </w:r>
    </w:p>
    <w:p w14:paraId="146EBF55" w14:textId="7AF569AA" w:rsidR="004750F2" w:rsidRPr="00674D38" w:rsidRDefault="00773552" w:rsidP="004750F2">
      <w:pPr>
        <w:rPr>
          <w:sz w:val="28"/>
          <w:szCs w:val="28"/>
          <w:rtl/>
        </w:rPr>
      </w:pPr>
      <w:r>
        <w:rPr>
          <w:rFonts w:hint="cs"/>
          <w:rtl/>
        </w:rPr>
        <w:t>رابع</w:t>
      </w:r>
      <w:r w:rsidR="004750F2">
        <w:rPr>
          <w:rFonts w:hint="cs"/>
          <w:rtl/>
        </w:rPr>
        <w:t xml:space="preserve"> عشر: </w:t>
      </w:r>
      <w:r>
        <w:rPr>
          <w:rFonts w:hint="cs"/>
          <w:rtl/>
        </w:rPr>
        <w:t xml:space="preserve">أن </w:t>
      </w:r>
      <w:r w:rsidR="004750F2">
        <w:rPr>
          <w:rFonts w:hint="cs"/>
          <w:rtl/>
        </w:rPr>
        <w:t xml:space="preserve">هناك </w:t>
      </w:r>
      <w:r w:rsidR="004750F2" w:rsidRPr="00674D38">
        <w:rPr>
          <w:rFonts w:ascii="Traditional Arabic" w:eastAsia="Calibri" w:hAnsi="Traditional Arabic" w:cs="Traditional Arabic" w:hint="cs"/>
          <w:sz w:val="28"/>
          <w:szCs w:val="28"/>
        </w:rPr>
        <w:t>استثناءات</w:t>
      </w:r>
      <w:r w:rsidR="004750F2" w:rsidRPr="00674D38">
        <w:rPr>
          <w:rFonts w:ascii="Traditional Arabic" w:eastAsia="Calibri" w:hAnsi="Traditional Arabic" w:cs="Traditional Arabic"/>
          <w:sz w:val="28"/>
          <w:szCs w:val="28"/>
        </w:rPr>
        <w:t xml:space="preserve"> </w:t>
      </w:r>
      <w:r w:rsidR="004750F2" w:rsidRPr="00674D38">
        <w:rPr>
          <w:rFonts w:ascii="Traditional Arabic" w:eastAsia="Calibri" w:hAnsi="Traditional Arabic" w:cs="Traditional Arabic" w:hint="cs"/>
          <w:sz w:val="28"/>
          <w:szCs w:val="28"/>
          <w:rtl/>
        </w:rPr>
        <w:t xml:space="preserve">ترد </w:t>
      </w:r>
      <w:r w:rsidR="004750F2" w:rsidRPr="00674D38">
        <w:rPr>
          <w:rFonts w:ascii="Traditional Arabic" w:eastAsia="Calibri" w:hAnsi="Traditional Arabic" w:cs="Traditional Arabic"/>
          <w:sz w:val="28"/>
          <w:szCs w:val="28"/>
          <w:rtl/>
        </w:rPr>
        <w:t>على</w:t>
      </w:r>
      <w:r w:rsidR="004750F2" w:rsidRPr="00674D38">
        <w:rPr>
          <w:rFonts w:ascii="Traditional Arabic" w:eastAsia="Calibri" w:hAnsi="Traditional Arabic" w:cs="Traditional Arabic"/>
          <w:sz w:val="28"/>
          <w:szCs w:val="28"/>
        </w:rPr>
        <w:t xml:space="preserve"> المبدأ العام في مدونة التجارة</w:t>
      </w:r>
      <w:r w:rsidR="004750F2" w:rsidRPr="00674D38">
        <w:rPr>
          <w:rFonts w:hint="cs"/>
          <w:sz w:val="28"/>
          <w:szCs w:val="28"/>
          <w:rtl/>
        </w:rPr>
        <w:t xml:space="preserve">منها </w:t>
      </w:r>
      <w:r w:rsidR="004750F2" w:rsidRPr="00674D38">
        <w:rPr>
          <w:rFonts w:ascii="Traditional Arabic" w:eastAsia="Calibri" w:hAnsi="Traditional Arabic" w:cs="Traditional Arabic"/>
          <w:sz w:val="28"/>
          <w:szCs w:val="28"/>
          <w:rtl/>
        </w:rPr>
        <w:t>الاستئناف</w:t>
      </w:r>
      <w:r w:rsidR="004750F2" w:rsidRPr="00674D38">
        <w:rPr>
          <w:rFonts w:ascii="Traditional Arabic" w:eastAsia="Calibri" w:hAnsi="Traditional Arabic" w:cs="Traditional Arabic" w:hint="cs"/>
          <w:sz w:val="28"/>
          <w:szCs w:val="28"/>
          <w:rtl/>
        </w:rPr>
        <w:t>،</w:t>
      </w:r>
      <w:r w:rsidR="004750F2" w:rsidRPr="00674D38">
        <w:rPr>
          <w:rFonts w:ascii="Traditional Arabic" w:eastAsia="Calibri" w:hAnsi="Traditional Arabic" w:cs="Traditional Arabic"/>
          <w:sz w:val="28"/>
          <w:szCs w:val="28"/>
          <w:rtl/>
        </w:rPr>
        <w:t xml:space="preserve"> والطعن في الحكم</w:t>
      </w:r>
      <w:r w:rsidR="004750F2" w:rsidRPr="00674D38">
        <w:rPr>
          <w:rFonts w:ascii="Traditional Arabic" w:eastAsia="Calibri" w:hAnsi="Traditional Arabic" w:cs="Traditional Arabic" w:hint="cs"/>
          <w:sz w:val="28"/>
          <w:szCs w:val="28"/>
          <w:rtl/>
        </w:rPr>
        <w:t>، وإثبات</w:t>
      </w:r>
      <w:r w:rsidR="004750F2" w:rsidRPr="00674D38">
        <w:rPr>
          <w:rFonts w:ascii="Traditional Arabic" w:eastAsia="Calibri" w:hAnsi="Traditional Arabic" w:cs="Traditional Arabic"/>
          <w:sz w:val="28"/>
          <w:szCs w:val="28"/>
          <w:rtl/>
        </w:rPr>
        <w:t xml:space="preserve"> عدم تنفيذ الحكم</w:t>
      </w:r>
      <w:r w:rsidR="004750F2">
        <w:rPr>
          <w:rFonts w:hint="cs"/>
          <w:sz w:val="28"/>
          <w:szCs w:val="28"/>
          <w:rtl/>
        </w:rPr>
        <w:t>،</w:t>
      </w:r>
      <w:r w:rsidR="004750F2" w:rsidRPr="00674D38">
        <w:rPr>
          <w:rFonts w:hint="cs"/>
          <w:sz w:val="28"/>
          <w:szCs w:val="28"/>
          <w:rtl/>
        </w:rPr>
        <w:t xml:space="preserve"> </w:t>
      </w:r>
      <w:r w:rsidR="004750F2" w:rsidRPr="00674D38">
        <w:rPr>
          <w:rFonts w:ascii="Traditional Arabic" w:eastAsia="Calibri" w:hAnsi="Traditional Arabic" w:cs="Traditional Arabic"/>
          <w:sz w:val="28"/>
          <w:szCs w:val="28"/>
          <w:rtl/>
        </w:rPr>
        <w:t>الاعتراف بالدين</w:t>
      </w:r>
      <w:r w:rsidR="004750F2" w:rsidRPr="00674D38">
        <w:rPr>
          <w:rFonts w:hint="cs"/>
          <w:sz w:val="28"/>
          <w:szCs w:val="28"/>
          <w:rtl/>
        </w:rPr>
        <w:t xml:space="preserve">، </w:t>
      </w:r>
      <w:r w:rsidR="004750F2" w:rsidRPr="00674D38">
        <w:rPr>
          <w:rFonts w:ascii="Traditional Arabic" w:eastAsia="Calibri" w:hAnsi="Traditional Arabic" w:cs="Traditional Arabic"/>
          <w:sz w:val="28"/>
          <w:szCs w:val="28"/>
          <w:rtl/>
        </w:rPr>
        <w:t>التقادم الصرفي</w:t>
      </w:r>
      <w:r w:rsidR="004750F2" w:rsidRPr="00674D38">
        <w:rPr>
          <w:rFonts w:hint="cs"/>
          <w:sz w:val="28"/>
          <w:szCs w:val="28"/>
          <w:rtl/>
        </w:rPr>
        <w:t xml:space="preserve">، </w:t>
      </w:r>
      <w:r w:rsidR="004750F2" w:rsidRPr="00674D38">
        <w:rPr>
          <w:rFonts w:ascii="Traditional Arabic" w:eastAsia="Calibri" w:hAnsi="Traditional Arabic" w:cs="Traditional Arabic"/>
          <w:sz w:val="28"/>
          <w:szCs w:val="28"/>
          <w:rtl/>
        </w:rPr>
        <w:t>الحالات الجنائية</w:t>
      </w:r>
      <w:r w:rsidR="004750F2" w:rsidRPr="00674D38">
        <w:rPr>
          <w:rFonts w:ascii="Traditional Arabic" w:eastAsia="Calibri" w:hAnsi="Traditional Arabic" w:cs="Traditional Arabic" w:hint="cs"/>
          <w:b/>
          <w:bCs/>
          <w:sz w:val="28"/>
          <w:szCs w:val="28"/>
          <w:rtl/>
        </w:rPr>
        <w:t>.</w:t>
      </w:r>
    </w:p>
    <w:p w14:paraId="77AEEABB" w14:textId="5BD69B06" w:rsidR="004750F2" w:rsidRPr="00E53363" w:rsidRDefault="00773552" w:rsidP="004750F2">
      <w:pPr>
        <w:rPr>
          <w:sz w:val="28"/>
          <w:szCs w:val="28"/>
          <w:rtl/>
        </w:rPr>
      </w:pPr>
      <w:r>
        <w:rPr>
          <w:rFonts w:hint="cs"/>
          <w:rtl/>
        </w:rPr>
        <w:t>خامس</w:t>
      </w:r>
      <w:r w:rsidR="004750F2">
        <w:rPr>
          <w:rFonts w:hint="cs"/>
          <w:rtl/>
        </w:rPr>
        <w:t xml:space="preserve"> عشر: أن التقادم قد ورد في بعض القوانين التجارية الخاصة</w:t>
      </w:r>
      <w:r w:rsidR="00B44ED4">
        <w:rPr>
          <w:rFonts w:hint="cs"/>
          <w:rtl/>
        </w:rPr>
        <w:t>؛</w:t>
      </w:r>
      <w:r w:rsidR="004750F2">
        <w:rPr>
          <w:rFonts w:hint="cs"/>
          <w:rtl/>
        </w:rPr>
        <w:t xml:space="preserve"> من ذلك ما يتعلق</w:t>
      </w:r>
      <w:r w:rsidR="004750F2">
        <w:rPr>
          <w:rFonts w:ascii="Traditional Arabic" w:eastAsia="Calibri" w:hAnsi="Traditional Arabic" w:cs="Traditional Arabic" w:hint="cs"/>
          <w:sz w:val="28"/>
          <w:szCs w:val="28"/>
          <w:rtl/>
        </w:rPr>
        <w:t xml:space="preserve"> بالأوراق</w:t>
      </w:r>
      <w:r w:rsidR="004750F2" w:rsidRPr="00BF6010">
        <w:rPr>
          <w:rFonts w:ascii="Traditional Arabic" w:eastAsia="Calibri" w:hAnsi="Traditional Arabic" w:cs="Traditional Arabic"/>
          <w:sz w:val="28"/>
          <w:szCs w:val="28"/>
          <w:rtl/>
        </w:rPr>
        <w:t xml:space="preserve"> الخاضعة لمبدأ عدم سماع الدعوى</w:t>
      </w:r>
      <w:r w:rsidR="004750F2">
        <w:rPr>
          <w:rFonts w:hint="cs"/>
          <w:sz w:val="28"/>
          <w:szCs w:val="28"/>
          <w:rtl/>
        </w:rPr>
        <w:t xml:space="preserve">؛ </w:t>
      </w:r>
      <w:r w:rsidR="004750F2" w:rsidRPr="00754EA6">
        <w:rPr>
          <w:rFonts w:hint="cs"/>
          <w:sz w:val="24"/>
          <w:szCs w:val="24"/>
          <w:rtl/>
        </w:rPr>
        <w:t>مثل الكمبيالة في النظام السعودي للأوراق التجارية، وذلك فيما يتعلق</w:t>
      </w:r>
      <w:r w:rsidR="004750F2" w:rsidRPr="00754EA6">
        <w:rPr>
          <w:rFonts w:hint="cs"/>
          <w:sz w:val="28"/>
          <w:szCs w:val="28"/>
          <w:rtl/>
        </w:rPr>
        <w:t xml:space="preserve"> </w:t>
      </w:r>
      <w:r w:rsidR="004750F2" w:rsidRPr="00754EA6">
        <w:rPr>
          <w:rFonts w:ascii="Traditional Arabic" w:eastAsia="Calibri" w:hAnsi="Traditional Arabic" w:cs="Traditional Arabic" w:hint="cs"/>
          <w:sz w:val="28"/>
          <w:szCs w:val="28"/>
          <w:rtl/>
        </w:rPr>
        <w:t>بالدعو</w:t>
      </w:r>
      <w:r w:rsidR="004750F2" w:rsidRPr="00754EA6">
        <w:rPr>
          <w:rFonts w:ascii="Traditional Arabic" w:eastAsia="Calibri" w:hAnsi="Traditional Arabic" w:cs="Traditional Arabic" w:hint="eastAsia"/>
          <w:sz w:val="28"/>
          <w:szCs w:val="28"/>
          <w:rtl/>
        </w:rPr>
        <w:t>ى</w:t>
      </w:r>
      <w:r w:rsidR="004750F2" w:rsidRPr="00754EA6">
        <w:rPr>
          <w:rFonts w:ascii="Traditional Arabic" w:eastAsia="Calibri" w:hAnsi="Traditional Arabic" w:cs="Traditional Arabic"/>
          <w:sz w:val="28"/>
          <w:szCs w:val="28"/>
          <w:rtl/>
        </w:rPr>
        <w:t xml:space="preserve"> ضد المسحوب عليه القابل</w:t>
      </w:r>
      <w:r w:rsidR="004750F2" w:rsidRPr="00754EA6">
        <w:rPr>
          <w:rFonts w:hint="cs"/>
          <w:sz w:val="28"/>
          <w:szCs w:val="28"/>
          <w:rtl/>
        </w:rPr>
        <w:t>، و</w:t>
      </w:r>
      <w:r w:rsidR="004750F2" w:rsidRPr="00754EA6">
        <w:rPr>
          <w:rFonts w:ascii="Traditional Arabic" w:eastAsia="Calibri" w:hAnsi="Traditional Arabic" w:cs="Traditional Arabic" w:hint="cs"/>
          <w:sz w:val="28"/>
          <w:szCs w:val="28"/>
          <w:rtl/>
        </w:rPr>
        <w:t>الدعو</w:t>
      </w:r>
      <w:r w:rsidR="004750F2" w:rsidRPr="00754EA6">
        <w:rPr>
          <w:rFonts w:ascii="Traditional Arabic" w:eastAsia="Calibri" w:hAnsi="Traditional Arabic" w:cs="Traditional Arabic" w:hint="eastAsia"/>
          <w:sz w:val="28"/>
          <w:szCs w:val="28"/>
          <w:rtl/>
        </w:rPr>
        <w:t>ى</w:t>
      </w:r>
      <w:r w:rsidR="004750F2" w:rsidRPr="00754EA6">
        <w:rPr>
          <w:rFonts w:ascii="Traditional Arabic" w:eastAsia="Calibri" w:hAnsi="Traditional Arabic" w:cs="Traditional Arabic"/>
          <w:sz w:val="28"/>
          <w:szCs w:val="28"/>
          <w:rtl/>
        </w:rPr>
        <w:t xml:space="preserve"> ضد الساحب</w:t>
      </w:r>
      <w:r w:rsidR="004750F2" w:rsidRPr="00754EA6">
        <w:rPr>
          <w:rFonts w:ascii="Traditional Arabic" w:eastAsia="Calibri" w:hAnsi="Traditional Arabic" w:cs="Traditional Arabic" w:hint="cs"/>
          <w:sz w:val="28"/>
          <w:szCs w:val="28"/>
          <w:rtl/>
        </w:rPr>
        <w:t>،</w:t>
      </w:r>
      <w:r w:rsidR="004750F2" w:rsidRPr="00754EA6">
        <w:rPr>
          <w:rFonts w:ascii="Traditional Arabic" w:eastAsia="Calibri" w:hAnsi="Traditional Arabic" w:cs="Traditional Arabic"/>
          <w:sz w:val="28"/>
          <w:szCs w:val="28"/>
          <w:rtl/>
        </w:rPr>
        <w:t xml:space="preserve"> والمظهرين</w:t>
      </w:r>
      <w:r w:rsidR="004750F2" w:rsidRPr="00754EA6">
        <w:rPr>
          <w:rFonts w:hint="cs"/>
          <w:sz w:val="28"/>
          <w:szCs w:val="28"/>
          <w:rtl/>
        </w:rPr>
        <w:t>، و</w:t>
      </w:r>
      <w:r w:rsidR="004750F2" w:rsidRPr="00754EA6">
        <w:rPr>
          <w:rFonts w:ascii="Traditional Arabic" w:eastAsia="Calibri" w:hAnsi="Traditional Arabic" w:cs="Traditional Arabic" w:hint="cs"/>
          <w:sz w:val="28"/>
          <w:szCs w:val="28"/>
          <w:rtl/>
        </w:rPr>
        <w:t xml:space="preserve">دعاوى </w:t>
      </w:r>
      <w:r w:rsidR="004750F2" w:rsidRPr="00754EA6">
        <w:rPr>
          <w:rFonts w:ascii="Traditional Arabic" w:eastAsia="Calibri" w:hAnsi="Traditional Arabic" w:cs="Traditional Arabic"/>
          <w:sz w:val="28"/>
          <w:szCs w:val="28"/>
          <w:rtl/>
        </w:rPr>
        <w:t>المظهرين بعضهم تجاه بعض</w:t>
      </w:r>
      <w:r w:rsidR="004750F2" w:rsidRPr="00754EA6">
        <w:rPr>
          <w:rFonts w:ascii="Traditional Arabic" w:eastAsia="Calibri" w:hAnsi="Traditional Arabic" w:cs="Traditional Arabic" w:hint="cs"/>
          <w:sz w:val="28"/>
          <w:szCs w:val="28"/>
          <w:rtl/>
        </w:rPr>
        <w:t>،</w:t>
      </w:r>
      <w:r w:rsidR="004750F2" w:rsidRPr="00754EA6">
        <w:rPr>
          <w:rFonts w:ascii="Traditional Arabic" w:eastAsia="Calibri" w:hAnsi="Traditional Arabic" w:cs="Traditional Arabic"/>
          <w:sz w:val="28"/>
          <w:szCs w:val="28"/>
          <w:rtl/>
        </w:rPr>
        <w:t xml:space="preserve"> أو تجاه الساحب</w:t>
      </w:r>
      <w:r w:rsidR="004750F2" w:rsidRPr="00E53363">
        <w:rPr>
          <w:rFonts w:hint="cs"/>
          <w:sz w:val="28"/>
          <w:szCs w:val="28"/>
          <w:rtl/>
        </w:rPr>
        <w:t xml:space="preserve">، </w:t>
      </w:r>
      <w:r w:rsidR="004750F2" w:rsidRPr="00773552">
        <w:rPr>
          <w:rFonts w:hint="cs"/>
          <w:sz w:val="24"/>
          <w:szCs w:val="24"/>
          <w:rtl/>
        </w:rPr>
        <w:t xml:space="preserve">ومن </w:t>
      </w:r>
      <w:r w:rsidRPr="00773552">
        <w:rPr>
          <w:rFonts w:hint="cs"/>
          <w:sz w:val="24"/>
          <w:szCs w:val="24"/>
          <w:rtl/>
        </w:rPr>
        <w:t xml:space="preserve">ذلك كذلك، </w:t>
      </w:r>
      <w:r w:rsidR="004750F2" w:rsidRPr="00773552">
        <w:rPr>
          <w:rFonts w:hint="cs"/>
          <w:sz w:val="24"/>
          <w:szCs w:val="24"/>
          <w:rtl/>
        </w:rPr>
        <w:t>ما يتعلق</w:t>
      </w:r>
      <w:r w:rsidR="004750F2" w:rsidRPr="00E53363">
        <w:rPr>
          <w:rFonts w:hint="cs"/>
          <w:sz w:val="28"/>
          <w:szCs w:val="28"/>
          <w:rtl/>
        </w:rPr>
        <w:t xml:space="preserve"> </w:t>
      </w:r>
      <w:r w:rsidR="004750F2" w:rsidRPr="00E53363">
        <w:rPr>
          <w:rFonts w:ascii="Traditional Arabic" w:eastAsia="Calibri" w:hAnsi="Traditional Arabic" w:cs="Traditional Arabic" w:hint="cs"/>
          <w:sz w:val="28"/>
          <w:szCs w:val="28"/>
          <w:rtl/>
        </w:rPr>
        <w:t>بالسند</w:t>
      </w:r>
      <w:r w:rsidR="004750F2" w:rsidRPr="00E53363">
        <w:rPr>
          <w:rFonts w:ascii="Traditional Arabic" w:eastAsia="Calibri" w:hAnsi="Traditional Arabic" w:cs="Traditional Arabic"/>
          <w:sz w:val="28"/>
          <w:szCs w:val="28"/>
          <w:rtl/>
        </w:rPr>
        <w:t xml:space="preserve"> لأمر</w:t>
      </w:r>
      <w:r w:rsidR="004750F2" w:rsidRPr="00E53363">
        <w:rPr>
          <w:rFonts w:ascii="Traditional Arabic" w:eastAsia="Calibri" w:hAnsi="Traditional Arabic" w:cs="Traditional Arabic" w:hint="cs"/>
          <w:sz w:val="28"/>
          <w:szCs w:val="28"/>
          <w:rtl/>
        </w:rPr>
        <w:t xml:space="preserve">، والشيك. </w:t>
      </w:r>
    </w:p>
    <w:p w14:paraId="0C6FF362" w14:textId="180AB596" w:rsidR="004750F2" w:rsidRDefault="00773552" w:rsidP="004750F2">
      <w:pPr>
        <w:rPr>
          <w:sz w:val="24"/>
          <w:szCs w:val="24"/>
          <w:rtl/>
        </w:rPr>
      </w:pPr>
      <w:r>
        <w:rPr>
          <w:rFonts w:hint="cs"/>
          <w:sz w:val="24"/>
          <w:szCs w:val="24"/>
          <w:rtl/>
        </w:rPr>
        <w:t>سادس عشر</w:t>
      </w:r>
      <w:r w:rsidR="004750F2" w:rsidRPr="00754EA6">
        <w:rPr>
          <w:rFonts w:hint="cs"/>
          <w:sz w:val="24"/>
          <w:szCs w:val="24"/>
          <w:rtl/>
        </w:rPr>
        <w:t>:</w:t>
      </w:r>
      <w:r w:rsidR="004750F2">
        <w:rPr>
          <w:rFonts w:hint="cs"/>
          <w:sz w:val="24"/>
          <w:szCs w:val="24"/>
          <w:rtl/>
        </w:rPr>
        <w:t xml:space="preserve"> أن هناك </w:t>
      </w:r>
      <w:r w:rsidR="004750F2" w:rsidRPr="00E53363">
        <w:rPr>
          <w:rFonts w:ascii="Traditional Arabic" w:eastAsia="Calibri" w:hAnsi="Traditional Arabic" w:cs="Traditional Arabic"/>
          <w:sz w:val="28"/>
          <w:szCs w:val="28"/>
          <w:rtl/>
        </w:rPr>
        <w:t>مشكلات</w:t>
      </w:r>
      <w:r w:rsidR="004750F2">
        <w:rPr>
          <w:rFonts w:ascii="Traditional Arabic" w:eastAsia="Calibri" w:hAnsi="Traditional Arabic" w:cs="Traditional Arabic" w:hint="cs"/>
          <w:sz w:val="28"/>
          <w:szCs w:val="28"/>
          <w:rtl/>
        </w:rPr>
        <w:t xml:space="preserve"> تعرض</w:t>
      </w:r>
      <w:r w:rsidR="004750F2" w:rsidRPr="00E53363">
        <w:rPr>
          <w:rFonts w:ascii="Traditional Arabic" w:eastAsia="Calibri" w:hAnsi="Traditional Arabic" w:cs="Traditional Arabic"/>
          <w:sz w:val="28"/>
          <w:szCs w:val="28"/>
          <w:rtl/>
        </w:rPr>
        <w:t xml:space="preserve"> </w:t>
      </w:r>
      <w:r w:rsidR="004750F2">
        <w:rPr>
          <w:rFonts w:ascii="Traditional Arabic" w:eastAsia="Calibri" w:hAnsi="Traditional Arabic" w:cs="Traditional Arabic" w:hint="cs"/>
          <w:sz w:val="28"/>
          <w:szCs w:val="28"/>
          <w:rtl/>
        </w:rPr>
        <w:t>ل</w:t>
      </w:r>
      <w:r w:rsidR="004750F2" w:rsidRPr="00E53363">
        <w:rPr>
          <w:rFonts w:ascii="Traditional Arabic" w:eastAsia="Calibri" w:hAnsi="Traditional Arabic" w:cs="Traditional Arabic" w:hint="cs"/>
          <w:sz w:val="28"/>
          <w:szCs w:val="28"/>
          <w:rtl/>
        </w:rPr>
        <w:t xml:space="preserve">لتقادم </w:t>
      </w:r>
      <w:r w:rsidR="004750F2">
        <w:rPr>
          <w:rFonts w:ascii="Traditional Arabic" w:eastAsia="Calibri" w:hAnsi="Traditional Arabic" w:cs="Traditional Arabic" w:hint="cs"/>
          <w:sz w:val="28"/>
          <w:szCs w:val="28"/>
          <w:rtl/>
        </w:rPr>
        <w:t xml:space="preserve">وفقا لما جاء </w:t>
      </w:r>
      <w:r w:rsidR="004750F2" w:rsidRPr="00E53363">
        <w:rPr>
          <w:rFonts w:ascii="Traditional Arabic" w:eastAsia="Calibri" w:hAnsi="Traditional Arabic" w:cs="Traditional Arabic"/>
          <w:sz w:val="28"/>
          <w:szCs w:val="28"/>
          <w:rtl/>
        </w:rPr>
        <w:t>في نظام المحاكم التجارية السعودية</w:t>
      </w:r>
      <w:r w:rsidR="004750F2">
        <w:rPr>
          <w:rFonts w:hint="cs"/>
          <w:sz w:val="24"/>
          <w:szCs w:val="24"/>
          <w:rtl/>
        </w:rPr>
        <w:t xml:space="preserve"> منها ما يتعلق </w:t>
      </w:r>
      <w:r w:rsidR="004750F2">
        <w:rPr>
          <w:rFonts w:ascii="Traditional Arabic" w:eastAsia="Calibri" w:hAnsi="Traditional Arabic" w:cs="Traditional Arabic" w:hint="cs"/>
          <w:sz w:val="28"/>
          <w:szCs w:val="28"/>
          <w:rtl/>
        </w:rPr>
        <w:t>با</w:t>
      </w:r>
      <w:r w:rsidR="004750F2" w:rsidRPr="00E53363">
        <w:rPr>
          <w:rFonts w:ascii="Traditional Arabic" w:eastAsia="Calibri" w:hAnsi="Traditional Arabic" w:cs="Traditional Arabic"/>
          <w:sz w:val="28"/>
          <w:szCs w:val="28"/>
          <w:rtl/>
        </w:rPr>
        <w:t>نقطاع التقادم في الالتزام الصر</w:t>
      </w:r>
      <w:r w:rsidR="004750F2" w:rsidRPr="00E53363">
        <w:rPr>
          <w:rFonts w:ascii="Traditional Arabic" w:eastAsia="Calibri" w:hAnsi="Traditional Arabic" w:cs="Traditional Arabic" w:hint="cs"/>
          <w:sz w:val="28"/>
          <w:szCs w:val="28"/>
          <w:rtl/>
        </w:rPr>
        <w:t>ف</w:t>
      </w:r>
      <w:r w:rsidR="004750F2">
        <w:rPr>
          <w:rFonts w:ascii="Traditional Arabic" w:eastAsia="Calibri" w:hAnsi="Traditional Arabic" w:cs="Traditional Arabic" w:hint="cs"/>
          <w:sz w:val="28"/>
          <w:szCs w:val="28"/>
          <w:rtl/>
        </w:rPr>
        <w:t xml:space="preserve">، ومنها </w:t>
      </w:r>
      <w:r w:rsidR="004750F2">
        <w:rPr>
          <w:rFonts w:hint="cs"/>
          <w:sz w:val="24"/>
          <w:szCs w:val="24"/>
          <w:rtl/>
        </w:rPr>
        <w:t>ما يتعلق</w:t>
      </w:r>
      <w:r w:rsidR="004750F2" w:rsidRPr="00E53363">
        <w:rPr>
          <w:rFonts w:ascii="Traditional Arabic" w:eastAsia="Calibri" w:hAnsi="Traditional Arabic" w:cs="Traditional Arabic"/>
          <w:b/>
          <w:bCs/>
          <w:sz w:val="40"/>
          <w:szCs w:val="40"/>
          <w:rtl/>
        </w:rPr>
        <w:t xml:space="preserve"> </w:t>
      </w:r>
      <w:bookmarkStart w:id="52" w:name="_Hlk181173545"/>
      <w:r w:rsidR="004750F2">
        <w:rPr>
          <w:rFonts w:ascii="Traditional Arabic" w:eastAsia="Calibri" w:hAnsi="Traditional Arabic" w:cs="Traditional Arabic" w:hint="cs"/>
          <w:sz w:val="28"/>
          <w:szCs w:val="28"/>
          <w:rtl/>
        </w:rPr>
        <w:t>بو</w:t>
      </w:r>
      <w:r w:rsidR="004750F2" w:rsidRPr="00E53363">
        <w:rPr>
          <w:rFonts w:ascii="Traditional Arabic" w:eastAsia="Calibri" w:hAnsi="Traditional Arabic" w:cs="Traditional Arabic"/>
          <w:sz w:val="28"/>
          <w:szCs w:val="28"/>
          <w:rtl/>
        </w:rPr>
        <w:t>قف سريان عدم سماع الدعوى في الالتزام الصرفي</w:t>
      </w:r>
      <w:r w:rsidR="004750F2">
        <w:rPr>
          <w:rFonts w:ascii="Traditional Arabic" w:eastAsia="Calibri" w:hAnsi="Traditional Arabic" w:cs="Traditional Arabic" w:hint="cs"/>
          <w:sz w:val="28"/>
          <w:szCs w:val="28"/>
          <w:rtl/>
        </w:rPr>
        <w:t xml:space="preserve">، </w:t>
      </w:r>
      <w:r w:rsidR="004750F2">
        <w:rPr>
          <w:rFonts w:hint="cs"/>
          <w:sz w:val="24"/>
          <w:szCs w:val="24"/>
          <w:rtl/>
        </w:rPr>
        <w:t xml:space="preserve">كما أن هناك آثارا لإعمال التقادم </w:t>
      </w:r>
      <w:r w:rsidR="004750F2" w:rsidRPr="00E53363">
        <w:rPr>
          <w:rFonts w:ascii="Traditional Arabic" w:eastAsia="Calibri" w:hAnsi="Traditional Arabic" w:cs="Traditional Arabic"/>
          <w:sz w:val="28"/>
          <w:szCs w:val="28"/>
          <w:rtl/>
        </w:rPr>
        <w:t>على العدالة</w:t>
      </w:r>
      <w:r w:rsidR="004750F2" w:rsidRPr="00E53363">
        <w:rPr>
          <w:rFonts w:ascii="Traditional Arabic" w:eastAsia="Calibri" w:hAnsi="Traditional Arabic" w:cs="Traditional Arabic" w:hint="cs"/>
          <w:sz w:val="28"/>
          <w:szCs w:val="28"/>
          <w:rtl/>
        </w:rPr>
        <w:t>،</w:t>
      </w:r>
      <w:r w:rsidR="004750F2" w:rsidRPr="00E53363">
        <w:rPr>
          <w:rFonts w:ascii="Traditional Arabic" w:eastAsia="Calibri" w:hAnsi="Traditional Arabic" w:cs="Traditional Arabic"/>
          <w:sz w:val="28"/>
          <w:szCs w:val="28"/>
          <w:rtl/>
        </w:rPr>
        <w:t xml:space="preserve"> والاقتصاد في المملكة العربية السعودية</w:t>
      </w:r>
      <w:r w:rsidR="004750F2">
        <w:rPr>
          <w:rFonts w:ascii="Traditional Arabic" w:eastAsia="Calibri" w:hAnsi="Traditional Arabic" w:cs="Traditional Arabic" w:hint="cs"/>
          <w:sz w:val="28"/>
          <w:szCs w:val="28"/>
          <w:rtl/>
        </w:rPr>
        <w:t>.</w:t>
      </w:r>
      <w:r w:rsidR="004750F2">
        <w:rPr>
          <w:rFonts w:hint="cs"/>
          <w:sz w:val="24"/>
          <w:szCs w:val="24"/>
          <w:rtl/>
        </w:rPr>
        <w:t xml:space="preserve"> </w:t>
      </w:r>
      <w:bookmarkEnd w:id="52"/>
    </w:p>
    <w:p w14:paraId="0DB8723B" w14:textId="77777777" w:rsidR="004750F2" w:rsidRDefault="004750F2" w:rsidP="004750F2">
      <w:pPr>
        <w:rPr>
          <w:sz w:val="24"/>
          <w:szCs w:val="24"/>
          <w:rtl/>
        </w:rPr>
      </w:pPr>
    </w:p>
    <w:p w14:paraId="5C7921C2" w14:textId="77777777" w:rsidR="004750F2" w:rsidRPr="00754EA6" w:rsidRDefault="004750F2" w:rsidP="004750F2">
      <w:pPr>
        <w:rPr>
          <w:sz w:val="24"/>
          <w:szCs w:val="24"/>
          <w:rtl/>
        </w:rPr>
      </w:pPr>
    </w:p>
    <w:p w14:paraId="3DD8BC5C" w14:textId="77777777" w:rsidR="004750F2" w:rsidRDefault="004750F2" w:rsidP="004750F2">
      <w:pPr>
        <w:rPr>
          <w:sz w:val="28"/>
          <w:szCs w:val="28"/>
          <w:rtl/>
        </w:rPr>
      </w:pPr>
    </w:p>
    <w:p w14:paraId="5E658576" w14:textId="77777777" w:rsidR="004750F2" w:rsidRDefault="004750F2" w:rsidP="004750F2">
      <w:pPr>
        <w:rPr>
          <w:sz w:val="28"/>
          <w:szCs w:val="28"/>
          <w:rtl/>
        </w:rPr>
      </w:pPr>
    </w:p>
    <w:p w14:paraId="4ADF94B5" w14:textId="77777777" w:rsidR="004750F2" w:rsidRDefault="004750F2" w:rsidP="004750F2">
      <w:pPr>
        <w:rPr>
          <w:sz w:val="28"/>
          <w:szCs w:val="28"/>
          <w:rtl/>
        </w:rPr>
      </w:pPr>
    </w:p>
    <w:p w14:paraId="2F00AFC9" w14:textId="77777777" w:rsidR="004750F2" w:rsidRPr="00BF6010" w:rsidRDefault="004750F2" w:rsidP="004750F2">
      <w:pPr>
        <w:rPr>
          <w:sz w:val="28"/>
          <w:szCs w:val="28"/>
        </w:rPr>
      </w:pPr>
    </w:p>
    <w:p w14:paraId="3EBEF362" w14:textId="77777777" w:rsidR="004750F2" w:rsidRPr="0041008B" w:rsidRDefault="004750F2" w:rsidP="004750F2"/>
    <w:p w14:paraId="3E8BC7E6" w14:textId="77777777" w:rsidR="004750F2" w:rsidRPr="0041008B" w:rsidRDefault="004750F2" w:rsidP="004750F2"/>
    <w:p w14:paraId="13809F78" w14:textId="77777777" w:rsidR="004750F2" w:rsidRPr="001C5175" w:rsidRDefault="004750F2" w:rsidP="004750F2"/>
    <w:p w14:paraId="46A08242" w14:textId="48727B10" w:rsidR="00286DB0" w:rsidRDefault="00286DB0" w:rsidP="004750F2">
      <w:pPr>
        <w:pStyle w:val="1"/>
        <w:spacing w:line="360" w:lineRule="auto"/>
        <w:ind w:firstLine="720"/>
        <w:rPr>
          <w:rFonts w:ascii="Traditional Arabic" w:eastAsia="Times New Roman" w:hAnsi="Traditional Arabic" w:cs="Traditional Arabic"/>
          <w:b/>
          <w:bCs/>
          <w:sz w:val="40"/>
          <w:szCs w:val="40"/>
        </w:rPr>
      </w:pPr>
      <w:r w:rsidRPr="00C406BC">
        <w:rPr>
          <w:rFonts w:ascii="Traditional Arabic" w:eastAsia="Times New Roman" w:hAnsi="Traditional Arabic" w:cs="Traditional Arabic"/>
          <w:b/>
          <w:bCs/>
          <w:sz w:val="40"/>
          <w:szCs w:val="40"/>
        </w:rPr>
        <w:lastRenderedPageBreak/>
        <w:t>المراجع</w:t>
      </w:r>
      <w:bookmarkEnd w:id="51"/>
    </w:p>
    <w:p w14:paraId="7D90A3F5" w14:textId="613C9314" w:rsidR="00A71096" w:rsidRPr="00A71096" w:rsidRDefault="00A71096" w:rsidP="00A71096">
      <w:pPr>
        <w:pStyle w:val="a5"/>
        <w:numPr>
          <w:ilvl w:val="0"/>
          <w:numId w:val="26"/>
        </w:numPr>
        <w:rPr>
          <w:sz w:val="28"/>
          <w:szCs w:val="28"/>
        </w:rPr>
      </w:pPr>
      <w:r w:rsidRPr="00A71096">
        <w:rPr>
          <w:rFonts w:hint="cs"/>
          <w:sz w:val="28"/>
          <w:szCs w:val="28"/>
          <w:rtl/>
        </w:rPr>
        <w:t>أبو الحسين أحمد بن فارس بن زكريا، مقاييس اللغة، دار الحديث، القاهرة، طبعة 2008م.</w:t>
      </w:r>
    </w:p>
    <w:p w14:paraId="7C7FC9DA" w14:textId="25D0ED3C" w:rsidR="00A71096" w:rsidRPr="00A71096" w:rsidRDefault="00A71096" w:rsidP="00A71096">
      <w:pPr>
        <w:pStyle w:val="a5"/>
        <w:numPr>
          <w:ilvl w:val="0"/>
          <w:numId w:val="26"/>
        </w:numPr>
        <w:rPr>
          <w:b/>
          <w:bCs/>
          <w:rtl/>
        </w:rPr>
      </w:pPr>
      <w:r w:rsidRPr="00A71096">
        <w:rPr>
          <w:rFonts w:hint="cs"/>
          <w:sz w:val="28"/>
          <w:szCs w:val="28"/>
          <w:rtl/>
        </w:rPr>
        <w:t xml:space="preserve"> أبو نصر إسماعيل بن حماد الجوهري الفارابي، الصحاح تاج اللغة وصحاح العربية، دار العلم للملايين، الطبعة الرابعة 1987م</w:t>
      </w:r>
      <w:r w:rsidRPr="00A71096">
        <w:rPr>
          <w:rFonts w:hint="cs"/>
          <w:b/>
          <w:bCs/>
          <w:rtl/>
        </w:rPr>
        <w:t>.</w:t>
      </w:r>
    </w:p>
    <w:p w14:paraId="16B1FB0A" w14:textId="09A39865" w:rsidR="00286DB0" w:rsidRPr="00A71096" w:rsidRDefault="00A71096" w:rsidP="00A71096">
      <w:pPr>
        <w:tabs>
          <w:tab w:val="num" w:pos="360"/>
        </w:tabs>
        <w:spacing w:after="240" w:line="360" w:lineRule="auto"/>
        <w:ind w:left="90"/>
        <w:rPr>
          <w:rFonts w:ascii="Traditional Arabic" w:eastAsia="Calibri" w:hAnsi="Traditional Arabic" w:cs="Traditional Arabic"/>
          <w:sz w:val="40"/>
          <w:szCs w:val="40"/>
          <w:rtl/>
          <w:lang w:bidi="ar-EG"/>
        </w:rPr>
      </w:pPr>
      <w:r>
        <w:rPr>
          <w:rFonts w:ascii="Traditional Arabic" w:eastAsia="Calibri" w:hAnsi="Traditional Arabic" w:cs="Traditional Arabic" w:hint="cs"/>
          <w:sz w:val="40"/>
          <w:szCs w:val="40"/>
          <w:rtl/>
        </w:rPr>
        <w:t>3.</w:t>
      </w:r>
      <w:r w:rsidR="00286DB0" w:rsidRPr="00A71096">
        <w:rPr>
          <w:rFonts w:ascii="Traditional Arabic" w:eastAsia="Calibri" w:hAnsi="Traditional Arabic" w:cs="Traditional Arabic"/>
          <w:sz w:val="40"/>
          <w:szCs w:val="40"/>
          <w:rtl/>
        </w:rPr>
        <w:t>أحمد السنهوري، عبد الرزاق. "شرح القانون المدني الجديد." الطبعة الثالثة، 1964م، ص 997.</w:t>
      </w:r>
    </w:p>
    <w:p w14:paraId="44F87909" w14:textId="487B1BCC" w:rsidR="00286DB0" w:rsidRPr="003C1BBA" w:rsidRDefault="003C1BBA" w:rsidP="003C1BBA">
      <w:pPr>
        <w:tabs>
          <w:tab w:val="num" w:pos="1080"/>
        </w:tabs>
        <w:spacing w:after="240" w:line="360" w:lineRule="auto"/>
        <w:ind w:left="90"/>
        <w:rPr>
          <w:rFonts w:ascii="Traditional Arabic" w:eastAsia="Calibri" w:hAnsi="Traditional Arabic" w:cs="Traditional Arabic"/>
          <w:sz w:val="40"/>
          <w:szCs w:val="40"/>
          <w:rtl/>
          <w:lang w:bidi="ar-EG"/>
        </w:rPr>
      </w:pPr>
      <w:r>
        <w:rPr>
          <w:rFonts w:ascii="Traditional Arabic" w:eastAsia="Calibri" w:hAnsi="Traditional Arabic" w:cs="Traditional Arabic" w:hint="cs"/>
          <w:sz w:val="40"/>
          <w:szCs w:val="40"/>
          <w:rtl/>
        </w:rPr>
        <w:t>4.</w:t>
      </w:r>
      <w:r w:rsidR="00286DB0" w:rsidRPr="003C1BBA">
        <w:rPr>
          <w:rFonts w:ascii="Traditional Arabic" w:eastAsia="Calibri" w:hAnsi="Traditional Arabic" w:cs="Traditional Arabic"/>
          <w:sz w:val="40"/>
          <w:szCs w:val="40"/>
          <w:rtl/>
        </w:rPr>
        <w:t>الخولي، أكثم أمين. الأوراق التجارية. ص. ٢٣.</w:t>
      </w:r>
    </w:p>
    <w:p w14:paraId="0B483646" w14:textId="28644191" w:rsidR="00286DB0" w:rsidRPr="003C1BBA" w:rsidRDefault="003C1BBA" w:rsidP="003C1BBA">
      <w:pPr>
        <w:tabs>
          <w:tab w:val="num" w:pos="1080"/>
        </w:tabs>
        <w:spacing w:after="240" w:line="360" w:lineRule="auto"/>
        <w:ind w:left="90"/>
        <w:rPr>
          <w:rFonts w:ascii="Traditional Arabic" w:eastAsia="Calibri" w:hAnsi="Traditional Arabic" w:cs="Traditional Arabic"/>
          <w:sz w:val="40"/>
          <w:szCs w:val="40"/>
          <w:rtl/>
          <w:lang w:bidi="ar-EG"/>
        </w:rPr>
      </w:pPr>
      <w:r>
        <w:rPr>
          <w:rFonts w:ascii="Traditional Arabic" w:eastAsia="Calibri" w:hAnsi="Traditional Arabic" w:cs="Traditional Arabic" w:hint="cs"/>
          <w:sz w:val="40"/>
          <w:szCs w:val="40"/>
          <w:rtl/>
        </w:rPr>
        <w:t>5.</w:t>
      </w:r>
      <w:r w:rsidR="00286DB0" w:rsidRPr="003C1BBA">
        <w:rPr>
          <w:rFonts w:ascii="Traditional Arabic" w:eastAsia="Calibri" w:hAnsi="Traditional Arabic" w:cs="Traditional Arabic"/>
          <w:sz w:val="40"/>
          <w:szCs w:val="40"/>
          <w:rtl/>
        </w:rPr>
        <w:t>المبادئ الشرعية والنظامية في ديوان المظالم، الفقرة 289، عام 1398هـ، ص 469-472.</w:t>
      </w:r>
    </w:p>
    <w:p w14:paraId="6C56D366" w14:textId="75240BBB" w:rsidR="00286DB0" w:rsidRPr="003C1BBA" w:rsidRDefault="003C1BBA" w:rsidP="003C1BBA">
      <w:pPr>
        <w:tabs>
          <w:tab w:val="num" w:pos="1080"/>
        </w:tabs>
        <w:spacing w:after="240" w:line="360" w:lineRule="auto"/>
        <w:ind w:left="90"/>
        <w:rPr>
          <w:rFonts w:ascii="Traditional Arabic" w:eastAsia="Calibri" w:hAnsi="Traditional Arabic" w:cs="Traditional Arabic"/>
          <w:sz w:val="40"/>
          <w:szCs w:val="40"/>
          <w:rtl/>
          <w:lang w:bidi="ar-EG"/>
        </w:rPr>
      </w:pPr>
      <w:r>
        <w:rPr>
          <w:rFonts w:ascii="Traditional Arabic" w:eastAsia="Calibri" w:hAnsi="Traditional Arabic" w:cs="Traditional Arabic" w:hint="cs"/>
          <w:sz w:val="40"/>
          <w:szCs w:val="40"/>
          <w:rtl/>
        </w:rPr>
        <w:t>6.</w:t>
      </w:r>
      <w:r w:rsidR="00286DB0" w:rsidRPr="003C1BBA">
        <w:rPr>
          <w:rFonts w:ascii="Traditional Arabic" w:eastAsia="Calibri" w:hAnsi="Traditional Arabic" w:cs="Traditional Arabic"/>
          <w:sz w:val="40"/>
          <w:szCs w:val="40"/>
          <w:rtl/>
        </w:rPr>
        <w:t>طه، مصطفى. "القانون التجاري." الإسكندرية، عام 1980م، ص 209.</w:t>
      </w:r>
    </w:p>
    <w:p w14:paraId="59F8E431" w14:textId="77777777" w:rsidR="00286DB0" w:rsidRPr="00C406BC" w:rsidRDefault="00286DB0" w:rsidP="005471ED">
      <w:pPr>
        <w:pStyle w:val="a5"/>
        <w:numPr>
          <w:ilvl w:val="1"/>
          <w:numId w:val="23"/>
        </w:numPr>
        <w:tabs>
          <w:tab w:val="num" w:pos="1080"/>
        </w:tabs>
        <w:spacing w:after="240" w:line="360" w:lineRule="auto"/>
        <w:rPr>
          <w:rFonts w:ascii="Traditional Arabic" w:eastAsia="Calibri" w:hAnsi="Traditional Arabic" w:cs="Traditional Arabic"/>
          <w:sz w:val="40"/>
          <w:szCs w:val="40"/>
          <w:rtl/>
          <w:lang w:bidi="ar-EG"/>
        </w:rPr>
      </w:pPr>
      <w:r w:rsidRPr="00C406BC">
        <w:rPr>
          <w:rFonts w:ascii="Traditional Arabic" w:eastAsia="Calibri" w:hAnsi="Traditional Arabic" w:cs="Traditional Arabic"/>
          <w:sz w:val="40"/>
          <w:szCs w:val="40"/>
          <w:rtl/>
        </w:rPr>
        <w:t>مالك بن أنس. "المدونة الكبرى." بيروت، دار السعادة، 1323هـ، ج 42/13.</w:t>
      </w:r>
    </w:p>
    <w:p w14:paraId="3C571A9F" w14:textId="77777777" w:rsidR="00286DB0" w:rsidRPr="00C406BC" w:rsidRDefault="00286DB0" w:rsidP="005471ED">
      <w:pPr>
        <w:pStyle w:val="a5"/>
        <w:numPr>
          <w:ilvl w:val="1"/>
          <w:numId w:val="23"/>
        </w:numPr>
        <w:tabs>
          <w:tab w:val="num" w:pos="1080"/>
        </w:tabs>
        <w:spacing w:after="240" w:line="360" w:lineRule="auto"/>
        <w:rPr>
          <w:rFonts w:ascii="Traditional Arabic" w:eastAsia="Calibri" w:hAnsi="Traditional Arabic" w:cs="Traditional Arabic"/>
          <w:sz w:val="40"/>
          <w:szCs w:val="40"/>
          <w:rtl/>
          <w:lang w:bidi="ar-EG"/>
        </w:rPr>
      </w:pPr>
      <w:r w:rsidRPr="00C406BC">
        <w:rPr>
          <w:rFonts w:ascii="Traditional Arabic" w:eastAsia="Calibri" w:hAnsi="Traditional Arabic" w:cs="Traditional Arabic"/>
          <w:sz w:val="40"/>
          <w:szCs w:val="40"/>
          <w:rtl/>
        </w:rPr>
        <w:t>نظام تنظيم الأعمال الإدارية في الدوائر الشرعية، صادر بالمرسوم الملكي رقم 109، تاريخ 24/7/1372هـ، الطبعة الخامسة، الرياض، 1398هـ.</w:t>
      </w:r>
    </w:p>
    <w:p w14:paraId="74A51209" w14:textId="77777777" w:rsidR="00286DB0" w:rsidRPr="00C406BC" w:rsidRDefault="00286DB0" w:rsidP="005471ED">
      <w:pPr>
        <w:pStyle w:val="a5"/>
        <w:numPr>
          <w:ilvl w:val="1"/>
          <w:numId w:val="23"/>
        </w:numPr>
        <w:tabs>
          <w:tab w:val="num" w:pos="1080"/>
        </w:tabs>
        <w:spacing w:after="240" w:line="360" w:lineRule="auto"/>
        <w:rPr>
          <w:rFonts w:ascii="Traditional Arabic" w:eastAsia="Calibri" w:hAnsi="Traditional Arabic" w:cs="Traditional Arabic"/>
          <w:sz w:val="40"/>
          <w:szCs w:val="40"/>
          <w:rtl/>
          <w:lang w:bidi="ar-EG"/>
        </w:rPr>
      </w:pPr>
      <w:r w:rsidRPr="00C406BC">
        <w:rPr>
          <w:rFonts w:ascii="Traditional Arabic" w:eastAsia="Calibri" w:hAnsi="Traditional Arabic" w:cs="Traditional Arabic"/>
          <w:sz w:val="40"/>
          <w:szCs w:val="40"/>
          <w:rtl/>
        </w:rPr>
        <w:t>"نظام الجمارك واللائحة التنفيذية." الطبعة الثانية، الرياض، 1400هـ، مطابع الحكومة الأمنية.</w:t>
      </w:r>
    </w:p>
    <w:p w14:paraId="7BB1E006" w14:textId="77777777" w:rsidR="00286DB0" w:rsidRPr="00C406BC" w:rsidRDefault="00286DB0" w:rsidP="005471ED">
      <w:pPr>
        <w:pStyle w:val="a5"/>
        <w:numPr>
          <w:ilvl w:val="1"/>
          <w:numId w:val="23"/>
        </w:numPr>
        <w:tabs>
          <w:tab w:val="num" w:pos="1080"/>
        </w:tabs>
        <w:spacing w:after="240" w:line="360" w:lineRule="auto"/>
        <w:rPr>
          <w:rFonts w:ascii="Traditional Arabic" w:eastAsia="Calibri" w:hAnsi="Traditional Arabic" w:cs="Traditional Arabic"/>
          <w:sz w:val="40"/>
          <w:szCs w:val="40"/>
          <w:rtl/>
          <w:lang w:bidi="ar-EG"/>
        </w:rPr>
      </w:pPr>
      <w:r w:rsidRPr="00C406BC">
        <w:rPr>
          <w:rFonts w:ascii="Traditional Arabic" w:eastAsia="Calibri" w:hAnsi="Traditional Arabic" w:cs="Traditional Arabic"/>
          <w:sz w:val="40"/>
          <w:szCs w:val="40"/>
          <w:rtl/>
        </w:rPr>
        <w:lastRenderedPageBreak/>
        <w:t>ابن المسيب. "الطرق الحكمية." القاهرة، مطبعة السنة المحمدية، 1372هـ.</w:t>
      </w:r>
    </w:p>
    <w:p w14:paraId="71EC30A6" w14:textId="77777777" w:rsidR="00286DB0" w:rsidRDefault="00286DB0" w:rsidP="005471ED">
      <w:pPr>
        <w:pStyle w:val="a5"/>
        <w:numPr>
          <w:ilvl w:val="1"/>
          <w:numId w:val="23"/>
        </w:numPr>
        <w:tabs>
          <w:tab w:val="num" w:pos="1080"/>
        </w:tabs>
        <w:spacing w:after="240" w:line="360" w:lineRule="auto"/>
        <w:rPr>
          <w:rFonts w:ascii="Traditional Arabic" w:eastAsia="Calibri" w:hAnsi="Traditional Arabic" w:cs="Traditional Arabic"/>
          <w:sz w:val="40"/>
          <w:szCs w:val="40"/>
        </w:rPr>
      </w:pPr>
      <w:r w:rsidRPr="00C406BC">
        <w:rPr>
          <w:rFonts w:ascii="Traditional Arabic" w:eastAsia="Calibri" w:hAnsi="Traditional Arabic" w:cs="Traditional Arabic"/>
          <w:sz w:val="40"/>
          <w:szCs w:val="40"/>
          <w:rtl/>
        </w:rPr>
        <w:t>ابن فارس. "مجمل اللغة." الطبعة الأولى، الكويت، 1405هـ - 1985م، ج 4، ص 149/4</w:t>
      </w:r>
    </w:p>
    <w:p w14:paraId="664A2420" w14:textId="64AD51F5" w:rsidR="003C1BBA" w:rsidRPr="00A42F7D" w:rsidRDefault="003C1BBA" w:rsidP="003C1BBA">
      <w:pPr>
        <w:pStyle w:val="a3"/>
        <w:ind w:left="90"/>
        <w:rPr>
          <w:rtl/>
        </w:rPr>
      </w:pPr>
      <w:r>
        <w:rPr>
          <w:rFonts w:hint="cs"/>
          <w:rtl/>
        </w:rPr>
        <w:t>6.د. إيمان الجميل تقادم</w:t>
      </w:r>
      <w:r w:rsidRPr="00A42F7D">
        <w:rPr>
          <w:rFonts w:hint="cs"/>
          <w:rtl/>
        </w:rPr>
        <w:t xml:space="preserve"> الدعوى في عقد النقل البحري دراسة مقارنة في التشريع الوطني والاتفاقيات الدولية، المكتب الجامعي الحديث، الطبعة الأولى</w:t>
      </w:r>
      <w:r w:rsidR="007B39E2">
        <w:rPr>
          <w:rFonts w:hint="cs"/>
          <w:rtl/>
        </w:rPr>
        <w:t>.</w:t>
      </w:r>
    </w:p>
    <w:p w14:paraId="01925817" w14:textId="77777777" w:rsidR="003C1BBA" w:rsidRPr="00C406BC" w:rsidRDefault="003C1BBA" w:rsidP="005471ED">
      <w:pPr>
        <w:pStyle w:val="a5"/>
        <w:numPr>
          <w:ilvl w:val="1"/>
          <w:numId w:val="23"/>
        </w:numPr>
        <w:tabs>
          <w:tab w:val="num" w:pos="1080"/>
        </w:tabs>
        <w:spacing w:after="240" w:line="360" w:lineRule="auto"/>
        <w:rPr>
          <w:rFonts w:ascii="Traditional Arabic" w:eastAsia="Calibri" w:hAnsi="Traditional Arabic" w:cs="Traditional Arabic"/>
          <w:sz w:val="40"/>
          <w:szCs w:val="40"/>
          <w:rtl/>
        </w:rPr>
      </w:pPr>
    </w:p>
    <w:p w14:paraId="0D1354DB" w14:textId="77777777" w:rsidR="00286DB0" w:rsidRPr="00C406BC" w:rsidRDefault="00286DB0" w:rsidP="005471ED">
      <w:pPr>
        <w:pStyle w:val="a5"/>
        <w:numPr>
          <w:ilvl w:val="1"/>
          <w:numId w:val="23"/>
        </w:numPr>
        <w:tabs>
          <w:tab w:val="num" w:pos="1080"/>
        </w:tabs>
        <w:spacing w:after="240" w:line="360" w:lineRule="auto"/>
        <w:rPr>
          <w:rFonts w:ascii="Traditional Arabic" w:eastAsia="Calibri" w:hAnsi="Traditional Arabic" w:cs="Traditional Arabic"/>
          <w:sz w:val="40"/>
          <w:szCs w:val="40"/>
          <w:rtl/>
          <w:lang w:bidi="ar-EG"/>
        </w:rPr>
      </w:pPr>
      <w:r w:rsidRPr="00C406BC">
        <w:rPr>
          <w:rFonts w:ascii="Traditional Arabic" w:eastAsia="Calibri" w:hAnsi="Traditional Arabic" w:cs="Traditional Arabic"/>
          <w:sz w:val="40"/>
          <w:szCs w:val="40"/>
          <w:rtl/>
        </w:rPr>
        <w:t>بدر، أمين. الأوراق التجارية في التشريع المصري. طبعة ١٩٥٣م. ص. ١٦، ٥٣١</w:t>
      </w:r>
      <w:r w:rsidRPr="00C406BC">
        <w:rPr>
          <w:rFonts w:ascii="Traditional Arabic" w:eastAsia="Calibri" w:hAnsi="Traditional Arabic" w:cs="Traditional Arabic"/>
          <w:sz w:val="40"/>
          <w:szCs w:val="40"/>
          <w:rtl/>
          <w:lang w:bidi="ar-EG"/>
        </w:rPr>
        <w:t>.</w:t>
      </w:r>
    </w:p>
    <w:p w14:paraId="39AB1579" w14:textId="77777777" w:rsidR="00286DB0" w:rsidRPr="00C406BC" w:rsidRDefault="00286DB0" w:rsidP="005471ED">
      <w:pPr>
        <w:pStyle w:val="a5"/>
        <w:numPr>
          <w:ilvl w:val="1"/>
          <w:numId w:val="23"/>
        </w:numPr>
        <w:tabs>
          <w:tab w:val="num" w:pos="1080"/>
        </w:tabs>
        <w:spacing w:after="240" w:line="360" w:lineRule="auto"/>
        <w:rPr>
          <w:rFonts w:ascii="Traditional Arabic" w:eastAsia="Calibri" w:hAnsi="Traditional Arabic" w:cs="Traditional Arabic"/>
          <w:sz w:val="40"/>
          <w:szCs w:val="40"/>
          <w:rtl/>
          <w:lang w:bidi="ar-EG"/>
        </w:rPr>
      </w:pPr>
      <w:r w:rsidRPr="00C406BC">
        <w:rPr>
          <w:rFonts w:ascii="Traditional Arabic" w:eastAsia="Calibri" w:hAnsi="Traditional Arabic" w:cs="Traditional Arabic"/>
          <w:sz w:val="40"/>
          <w:szCs w:val="40"/>
          <w:rtl/>
        </w:rPr>
        <w:t>الحداد، الياس. الأوراق التجارية في النظام السعودي. ص. ٣٧٥.</w:t>
      </w:r>
    </w:p>
    <w:p w14:paraId="73639A78" w14:textId="77777777" w:rsidR="00286DB0" w:rsidRPr="00C406BC" w:rsidRDefault="00286DB0" w:rsidP="005471ED">
      <w:pPr>
        <w:pStyle w:val="a5"/>
        <w:numPr>
          <w:ilvl w:val="1"/>
          <w:numId w:val="23"/>
        </w:numPr>
        <w:tabs>
          <w:tab w:val="num" w:pos="1080"/>
        </w:tabs>
        <w:spacing w:after="240" w:line="360" w:lineRule="auto"/>
        <w:rPr>
          <w:rFonts w:ascii="Traditional Arabic" w:eastAsia="Calibri" w:hAnsi="Traditional Arabic" w:cs="Traditional Arabic"/>
          <w:sz w:val="40"/>
          <w:szCs w:val="40"/>
          <w:rtl/>
          <w:lang w:bidi="ar-EG"/>
        </w:rPr>
      </w:pPr>
      <w:r w:rsidRPr="00C406BC">
        <w:rPr>
          <w:rFonts w:ascii="Traditional Arabic" w:eastAsia="Calibri" w:hAnsi="Traditional Arabic" w:cs="Traditional Arabic"/>
          <w:sz w:val="40"/>
          <w:szCs w:val="40"/>
          <w:rtl/>
        </w:rPr>
        <w:t>راتب، محمد على. السندات الإذنية. طبعة ١٩٤٢م. ص. ٤٦٥</w:t>
      </w:r>
    </w:p>
    <w:p w14:paraId="4F29F3CA" w14:textId="77777777" w:rsidR="00286DB0" w:rsidRPr="00C406BC" w:rsidRDefault="00286DB0" w:rsidP="005471ED">
      <w:pPr>
        <w:pStyle w:val="a5"/>
        <w:numPr>
          <w:ilvl w:val="1"/>
          <w:numId w:val="23"/>
        </w:numPr>
        <w:tabs>
          <w:tab w:val="num" w:pos="1080"/>
        </w:tabs>
        <w:spacing w:after="240" w:line="360" w:lineRule="auto"/>
        <w:rPr>
          <w:rFonts w:ascii="Traditional Arabic" w:eastAsia="Calibri" w:hAnsi="Traditional Arabic" w:cs="Traditional Arabic"/>
          <w:sz w:val="40"/>
          <w:szCs w:val="40"/>
          <w:rtl/>
          <w:lang w:bidi="ar-EG"/>
        </w:rPr>
      </w:pPr>
      <w:r w:rsidRPr="00C406BC">
        <w:rPr>
          <w:rFonts w:ascii="Traditional Arabic" w:eastAsia="Calibri" w:hAnsi="Traditional Arabic" w:cs="Traditional Arabic"/>
          <w:sz w:val="40"/>
          <w:szCs w:val="40"/>
          <w:rtl/>
        </w:rPr>
        <w:t>سالم، محمود. "السقوط والتقادم في الأوراق التجارية." الطبعة الأولى، القاهرة، 1406هـ/1986م، ص 1.</w:t>
      </w:r>
    </w:p>
    <w:p w14:paraId="177A7283" w14:textId="77777777" w:rsidR="00286DB0" w:rsidRPr="00C406BC" w:rsidRDefault="00286DB0" w:rsidP="005471ED">
      <w:pPr>
        <w:pStyle w:val="a5"/>
        <w:numPr>
          <w:ilvl w:val="1"/>
          <w:numId w:val="23"/>
        </w:numPr>
        <w:tabs>
          <w:tab w:val="num" w:pos="1080"/>
        </w:tabs>
        <w:spacing w:after="240" w:line="360" w:lineRule="auto"/>
        <w:rPr>
          <w:rFonts w:ascii="Traditional Arabic" w:eastAsia="Calibri" w:hAnsi="Traditional Arabic" w:cs="Traditional Arabic"/>
          <w:sz w:val="40"/>
          <w:szCs w:val="40"/>
          <w:rtl/>
          <w:lang w:bidi="ar-EG"/>
        </w:rPr>
      </w:pPr>
      <w:r w:rsidRPr="00C406BC">
        <w:rPr>
          <w:rFonts w:ascii="Traditional Arabic" w:eastAsia="Calibri" w:hAnsi="Traditional Arabic" w:cs="Traditional Arabic"/>
          <w:sz w:val="40"/>
          <w:szCs w:val="40"/>
          <w:rtl/>
        </w:rPr>
        <w:t>السنهوري. شرح القانون المدني. بغداد، عام ١٩٦٢م، ص14</w:t>
      </w:r>
    </w:p>
    <w:p w14:paraId="4F87D52B" w14:textId="77777777" w:rsidR="00286DB0" w:rsidRPr="00C406BC" w:rsidRDefault="00286DB0" w:rsidP="005471ED">
      <w:pPr>
        <w:pStyle w:val="a5"/>
        <w:numPr>
          <w:ilvl w:val="1"/>
          <w:numId w:val="23"/>
        </w:numPr>
        <w:tabs>
          <w:tab w:val="num" w:pos="1080"/>
        </w:tabs>
        <w:spacing w:after="240" w:line="360" w:lineRule="auto"/>
        <w:rPr>
          <w:rFonts w:ascii="Traditional Arabic" w:eastAsia="Calibri" w:hAnsi="Traditional Arabic" w:cs="Traditional Arabic"/>
          <w:sz w:val="40"/>
          <w:szCs w:val="40"/>
          <w:rtl/>
          <w:lang w:bidi="ar-EG"/>
        </w:rPr>
      </w:pPr>
      <w:r w:rsidRPr="00C406BC">
        <w:rPr>
          <w:rFonts w:ascii="Traditional Arabic" w:eastAsia="Calibri" w:hAnsi="Traditional Arabic" w:cs="Traditional Arabic"/>
          <w:sz w:val="40"/>
          <w:szCs w:val="40"/>
          <w:rtl/>
        </w:rPr>
        <w:t>عبيد، رضا. "القانون التجاري." الطبعة الخامسة، القاهرة، 1984/5م، ص 362.</w:t>
      </w:r>
    </w:p>
    <w:p w14:paraId="2909BAB3" w14:textId="77777777" w:rsidR="00286DB0" w:rsidRPr="00C406BC" w:rsidRDefault="00286DB0" w:rsidP="005471ED">
      <w:pPr>
        <w:pStyle w:val="a5"/>
        <w:numPr>
          <w:ilvl w:val="1"/>
          <w:numId w:val="23"/>
        </w:numPr>
        <w:tabs>
          <w:tab w:val="num" w:pos="1080"/>
        </w:tabs>
        <w:spacing w:after="240" w:line="360" w:lineRule="auto"/>
        <w:rPr>
          <w:rFonts w:ascii="Traditional Arabic" w:eastAsia="Calibri" w:hAnsi="Traditional Arabic" w:cs="Traditional Arabic"/>
          <w:sz w:val="40"/>
          <w:szCs w:val="40"/>
          <w:rtl/>
          <w:lang w:bidi="ar-EG"/>
        </w:rPr>
      </w:pPr>
      <w:r w:rsidRPr="00C406BC">
        <w:rPr>
          <w:rFonts w:ascii="Traditional Arabic" w:eastAsia="Calibri" w:hAnsi="Traditional Arabic" w:cs="Traditional Arabic"/>
          <w:sz w:val="40"/>
          <w:szCs w:val="40"/>
          <w:rtl/>
        </w:rPr>
        <w:t>علي العميريني، "حكم إصدار شيك بدون رصيد في النظام السعودي." مجلة الأمن، العدد السادس.</w:t>
      </w:r>
    </w:p>
    <w:p w14:paraId="754C23F7" w14:textId="77777777" w:rsidR="00286DB0" w:rsidRPr="00C406BC" w:rsidRDefault="00286DB0" w:rsidP="005471ED">
      <w:pPr>
        <w:pStyle w:val="a5"/>
        <w:numPr>
          <w:ilvl w:val="1"/>
          <w:numId w:val="23"/>
        </w:numPr>
        <w:tabs>
          <w:tab w:val="num" w:pos="1080"/>
        </w:tabs>
        <w:spacing w:after="240" w:line="360" w:lineRule="auto"/>
        <w:rPr>
          <w:rFonts w:ascii="Traditional Arabic" w:eastAsia="Calibri" w:hAnsi="Traditional Arabic" w:cs="Traditional Arabic"/>
          <w:sz w:val="40"/>
          <w:szCs w:val="40"/>
          <w:rtl/>
        </w:rPr>
      </w:pPr>
      <w:r w:rsidRPr="00C406BC">
        <w:rPr>
          <w:rFonts w:ascii="Traditional Arabic" w:eastAsia="Calibri" w:hAnsi="Traditional Arabic" w:cs="Traditional Arabic"/>
          <w:sz w:val="40"/>
          <w:szCs w:val="40"/>
          <w:rtl/>
        </w:rPr>
        <w:lastRenderedPageBreak/>
        <w:t>العمران، عبد الله. "الأوراق التجارية في النظام السعودي." مطابع معهد الإدارة، ص 235، سنة 149هـ</w:t>
      </w:r>
    </w:p>
    <w:p w14:paraId="050CAAC1" w14:textId="77777777" w:rsidR="00286DB0" w:rsidRPr="00C406BC" w:rsidRDefault="00286DB0" w:rsidP="005471ED">
      <w:pPr>
        <w:pStyle w:val="a5"/>
        <w:numPr>
          <w:ilvl w:val="1"/>
          <w:numId w:val="23"/>
        </w:numPr>
        <w:tabs>
          <w:tab w:val="num" w:pos="1080"/>
        </w:tabs>
        <w:spacing w:after="240" w:line="360" w:lineRule="auto"/>
        <w:rPr>
          <w:rFonts w:ascii="Traditional Arabic" w:eastAsia="Calibri" w:hAnsi="Traditional Arabic" w:cs="Traditional Arabic"/>
          <w:sz w:val="40"/>
          <w:szCs w:val="40"/>
          <w:rtl/>
          <w:lang w:bidi="ar-EG"/>
        </w:rPr>
      </w:pPr>
      <w:r w:rsidRPr="00C406BC">
        <w:rPr>
          <w:rFonts w:ascii="Traditional Arabic" w:eastAsia="Calibri" w:hAnsi="Traditional Arabic" w:cs="Traditional Arabic"/>
          <w:sz w:val="40"/>
          <w:szCs w:val="40"/>
          <w:rtl/>
        </w:rPr>
        <w:t>نظام تنظيم الأعمال الإدارية في الدوائر الشرعية الصادر برقم 109 وتاريخ 1372/1/2ه</w:t>
      </w:r>
    </w:p>
    <w:p w14:paraId="51FF5081" w14:textId="77777777" w:rsidR="00286DB0" w:rsidRPr="00C406BC" w:rsidRDefault="00286DB0" w:rsidP="005471ED">
      <w:pPr>
        <w:pStyle w:val="a5"/>
        <w:numPr>
          <w:ilvl w:val="1"/>
          <w:numId w:val="23"/>
        </w:numPr>
        <w:tabs>
          <w:tab w:val="num" w:pos="1080"/>
        </w:tabs>
        <w:spacing w:after="240" w:line="360" w:lineRule="auto"/>
        <w:rPr>
          <w:rFonts w:ascii="Traditional Arabic" w:eastAsia="Calibri" w:hAnsi="Traditional Arabic" w:cs="Traditional Arabic"/>
          <w:sz w:val="40"/>
          <w:szCs w:val="40"/>
          <w:rtl/>
          <w:lang w:bidi="ar-EG"/>
        </w:rPr>
      </w:pPr>
      <w:r w:rsidRPr="00C406BC">
        <w:rPr>
          <w:rFonts w:ascii="Traditional Arabic" w:eastAsia="Calibri" w:hAnsi="Traditional Arabic" w:cs="Traditional Arabic"/>
          <w:sz w:val="40"/>
          <w:szCs w:val="40"/>
          <w:rtl/>
        </w:rPr>
        <w:t>الفيروز بادي الشيرازي، مجد الدين محمد بن يعقوب. "القاموس المحيط." المطبعة الأميرية، سنة 1302هـ، ص 159/4.</w:t>
      </w:r>
    </w:p>
    <w:p w14:paraId="4AC04D03" w14:textId="77777777" w:rsidR="00286DB0" w:rsidRPr="00C406BC" w:rsidRDefault="00286DB0" w:rsidP="005471ED">
      <w:pPr>
        <w:pStyle w:val="a5"/>
        <w:numPr>
          <w:ilvl w:val="1"/>
          <w:numId w:val="23"/>
        </w:numPr>
        <w:tabs>
          <w:tab w:val="num" w:pos="1080"/>
        </w:tabs>
        <w:spacing w:after="240" w:line="360" w:lineRule="auto"/>
        <w:rPr>
          <w:rFonts w:ascii="Traditional Arabic" w:eastAsia="Calibri" w:hAnsi="Traditional Arabic" w:cs="Traditional Arabic"/>
          <w:sz w:val="40"/>
          <w:szCs w:val="40"/>
          <w:rtl/>
          <w:lang w:bidi="ar-EG"/>
        </w:rPr>
      </w:pPr>
      <w:r w:rsidRPr="00C406BC">
        <w:rPr>
          <w:rFonts w:ascii="Traditional Arabic" w:eastAsia="Calibri" w:hAnsi="Traditional Arabic" w:cs="Traditional Arabic"/>
          <w:sz w:val="40"/>
          <w:szCs w:val="40"/>
          <w:rtl/>
        </w:rPr>
        <w:t>قرار مجلس الوزراء السعودي رقم 968، تاريخ 13/9/132هـ، جريدة أم القرى العدد 2449، 25/10/1392هـ.</w:t>
      </w:r>
    </w:p>
    <w:p w14:paraId="4E57585C" w14:textId="77777777" w:rsidR="00286DB0" w:rsidRPr="00C406BC" w:rsidRDefault="00286DB0" w:rsidP="005471ED">
      <w:pPr>
        <w:pStyle w:val="a5"/>
        <w:numPr>
          <w:ilvl w:val="1"/>
          <w:numId w:val="23"/>
        </w:numPr>
        <w:tabs>
          <w:tab w:val="num" w:pos="1080"/>
        </w:tabs>
        <w:spacing w:after="240" w:line="360" w:lineRule="auto"/>
        <w:rPr>
          <w:rFonts w:ascii="Traditional Arabic" w:eastAsia="Calibri" w:hAnsi="Traditional Arabic" w:cs="Traditional Arabic"/>
          <w:sz w:val="40"/>
          <w:szCs w:val="40"/>
          <w:rtl/>
          <w:lang w:bidi="ar-EG"/>
        </w:rPr>
      </w:pPr>
      <w:r w:rsidRPr="00C406BC">
        <w:rPr>
          <w:rFonts w:ascii="Traditional Arabic" w:eastAsia="Calibri" w:hAnsi="Traditional Arabic" w:cs="Traditional Arabic"/>
          <w:sz w:val="40"/>
          <w:szCs w:val="40"/>
          <w:rtl/>
        </w:rPr>
        <w:t>الكشناوي، أبو بكر. "أسهل المدارك شرح إرشاد السالك في فقه الإمام مالك." مطبعة الحلبي، ص 237/3.</w:t>
      </w:r>
    </w:p>
    <w:p w14:paraId="07E5AD53" w14:textId="77777777" w:rsidR="00286DB0" w:rsidRPr="00C406BC" w:rsidRDefault="00286DB0" w:rsidP="005471ED">
      <w:pPr>
        <w:pStyle w:val="a5"/>
        <w:numPr>
          <w:ilvl w:val="1"/>
          <w:numId w:val="23"/>
        </w:numPr>
        <w:tabs>
          <w:tab w:val="num" w:pos="1080"/>
        </w:tabs>
        <w:spacing w:after="240" w:line="360" w:lineRule="auto"/>
        <w:rPr>
          <w:rFonts w:ascii="Traditional Arabic" w:eastAsia="Calibri" w:hAnsi="Traditional Arabic" w:cs="Traditional Arabic"/>
          <w:sz w:val="40"/>
          <w:szCs w:val="40"/>
          <w:rtl/>
          <w:lang w:bidi="ar-EG"/>
        </w:rPr>
      </w:pPr>
      <w:r w:rsidRPr="00C406BC">
        <w:rPr>
          <w:rFonts w:ascii="Traditional Arabic" w:eastAsia="Calibri" w:hAnsi="Traditional Arabic" w:cs="Traditional Arabic"/>
          <w:sz w:val="40"/>
          <w:szCs w:val="40"/>
          <w:rtl/>
        </w:rPr>
        <w:t>مالك بن أنس. "المدونة الكبرى." بيروت، دار السعادة، 1323هـ، ج 42/13.</w:t>
      </w:r>
    </w:p>
    <w:p w14:paraId="1136EBD9" w14:textId="77777777" w:rsidR="00286DB0" w:rsidRPr="00C406BC" w:rsidRDefault="00286DB0" w:rsidP="005471ED">
      <w:pPr>
        <w:pStyle w:val="a5"/>
        <w:numPr>
          <w:ilvl w:val="1"/>
          <w:numId w:val="23"/>
        </w:numPr>
        <w:tabs>
          <w:tab w:val="num" w:pos="1080"/>
        </w:tabs>
        <w:spacing w:after="240" w:line="360" w:lineRule="auto"/>
        <w:rPr>
          <w:rFonts w:ascii="Traditional Arabic" w:eastAsia="Calibri" w:hAnsi="Traditional Arabic" w:cs="Traditional Arabic"/>
          <w:sz w:val="40"/>
          <w:szCs w:val="40"/>
          <w:rtl/>
          <w:lang w:bidi="ar-EG"/>
        </w:rPr>
      </w:pPr>
      <w:r w:rsidRPr="00C406BC">
        <w:rPr>
          <w:rFonts w:ascii="Traditional Arabic" w:eastAsia="Calibri" w:hAnsi="Traditional Arabic" w:cs="Traditional Arabic"/>
          <w:sz w:val="40"/>
          <w:szCs w:val="40"/>
          <w:rtl/>
        </w:rPr>
        <w:t>مالك بن أنس. "مواهب الجليل." بيروت، دار السعادة، 1323هـ، ص 229/6.</w:t>
      </w:r>
    </w:p>
    <w:p w14:paraId="03029B22" w14:textId="77777777" w:rsidR="00286DB0" w:rsidRPr="00C406BC" w:rsidRDefault="00286DB0" w:rsidP="005471ED">
      <w:pPr>
        <w:pStyle w:val="a5"/>
        <w:numPr>
          <w:ilvl w:val="1"/>
          <w:numId w:val="23"/>
        </w:numPr>
        <w:tabs>
          <w:tab w:val="num" w:pos="1080"/>
        </w:tabs>
        <w:spacing w:after="240" w:line="360" w:lineRule="auto"/>
        <w:rPr>
          <w:rFonts w:ascii="Traditional Arabic" w:eastAsia="Calibri" w:hAnsi="Traditional Arabic" w:cs="Traditional Arabic"/>
          <w:sz w:val="40"/>
          <w:szCs w:val="40"/>
          <w:rtl/>
          <w:lang w:bidi="ar-EG"/>
        </w:rPr>
      </w:pPr>
      <w:r w:rsidRPr="00C406BC">
        <w:rPr>
          <w:rFonts w:ascii="Traditional Arabic" w:eastAsia="Calibri" w:hAnsi="Traditional Arabic" w:cs="Traditional Arabic"/>
          <w:sz w:val="40"/>
          <w:szCs w:val="40"/>
          <w:rtl/>
        </w:rPr>
        <w:t>محمود مختار البريري، "قانون المعاملات التجارية السعودي." 17/2.</w:t>
      </w:r>
    </w:p>
    <w:p w14:paraId="16061CC7" w14:textId="77777777" w:rsidR="00286DB0" w:rsidRPr="00C406BC" w:rsidRDefault="00286DB0" w:rsidP="005471ED">
      <w:pPr>
        <w:pStyle w:val="a5"/>
        <w:numPr>
          <w:ilvl w:val="1"/>
          <w:numId w:val="23"/>
        </w:numPr>
        <w:tabs>
          <w:tab w:val="num" w:pos="1080"/>
        </w:tabs>
        <w:spacing w:after="240" w:line="360" w:lineRule="auto"/>
        <w:rPr>
          <w:rFonts w:ascii="Traditional Arabic" w:eastAsia="Calibri" w:hAnsi="Traditional Arabic" w:cs="Traditional Arabic"/>
          <w:sz w:val="40"/>
          <w:szCs w:val="40"/>
          <w:rtl/>
          <w:lang w:bidi="ar-EG"/>
        </w:rPr>
      </w:pPr>
      <w:r w:rsidRPr="00C406BC">
        <w:rPr>
          <w:rFonts w:ascii="Traditional Arabic" w:eastAsia="Calibri" w:hAnsi="Traditional Arabic" w:cs="Traditional Arabic"/>
          <w:sz w:val="40"/>
          <w:szCs w:val="40"/>
          <w:rtl/>
        </w:rPr>
        <w:t>المذكرة التفسيرية لنظام الأوراق التجارية. ص. ٦٨.</w:t>
      </w:r>
    </w:p>
    <w:p w14:paraId="038AC555" w14:textId="77777777" w:rsidR="00286DB0" w:rsidRPr="00C406BC" w:rsidRDefault="00286DB0" w:rsidP="005471ED">
      <w:pPr>
        <w:pStyle w:val="a5"/>
        <w:numPr>
          <w:ilvl w:val="1"/>
          <w:numId w:val="23"/>
        </w:numPr>
        <w:tabs>
          <w:tab w:val="num" w:pos="1080"/>
        </w:tabs>
        <w:spacing w:after="240" w:line="360" w:lineRule="auto"/>
        <w:rPr>
          <w:rFonts w:ascii="Traditional Arabic" w:eastAsia="Calibri" w:hAnsi="Traditional Arabic" w:cs="Traditional Arabic"/>
          <w:sz w:val="40"/>
          <w:szCs w:val="40"/>
          <w:rtl/>
          <w:lang w:bidi="ar-EG"/>
        </w:rPr>
      </w:pPr>
      <w:r w:rsidRPr="00C406BC">
        <w:rPr>
          <w:rFonts w:ascii="Traditional Arabic" w:eastAsia="Calibri" w:hAnsi="Traditional Arabic" w:cs="Traditional Arabic"/>
          <w:sz w:val="40"/>
          <w:szCs w:val="40"/>
          <w:rtl/>
        </w:rPr>
        <w:lastRenderedPageBreak/>
        <w:t>مرقس، سليمان. "شرح القانون المدني." مجلة الأمن، العدد الحادي عشر، جمادى الأولى 1416هـ، ص 857.</w:t>
      </w:r>
    </w:p>
    <w:p w14:paraId="7DC0F97C" w14:textId="77777777" w:rsidR="00286DB0" w:rsidRPr="00C406BC" w:rsidRDefault="00286DB0" w:rsidP="005471ED">
      <w:pPr>
        <w:pStyle w:val="a5"/>
        <w:numPr>
          <w:ilvl w:val="1"/>
          <w:numId w:val="23"/>
        </w:numPr>
        <w:tabs>
          <w:tab w:val="num" w:pos="1080"/>
        </w:tabs>
        <w:spacing w:after="240" w:line="360" w:lineRule="auto"/>
        <w:rPr>
          <w:rFonts w:ascii="Traditional Arabic" w:eastAsia="Calibri" w:hAnsi="Traditional Arabic" w:cs="Traditional Arabic"/>
          <w:sz w:val="40"/>
          <w:szCs w:val="40"/>
          <w:rtl/>
          <w:lang w:bidi="ar-EG"/>
        </w:rPr>
      </w:pPr>
      <w:r w:rsidRPr="00C406BC">
        <w:rPr>
          <w:rFonts w:ascii="Traditional Arabic" w:eastAsia="Calibri" w:hAnsi="Traditional Arabic" w:cs="Traditional Arabic"/>
          <w:sz w:val="40"/>
          <w:szCs w:val="40"/>
          <w:rtl/>
        </w:rPr>
        <w:t xml:space="preserve">نظام الأوراق التجارية السعودي: </w:t>
      </w:r>
      <w:hyperlink r:id="rId9" w:history="1">
        <w:r w:rsidRPr="00C406BC">
          <w:rPr>
            <w:rFonts w:ascii="Traditional Arabic" w:eastAsia="Calibri" w:hAnsi="Traditional Arabic" w:cs="Traditional Arabic"/>
            <w:sz w:val="40"/>
            <w:szCs w:val="40"/>
            <w:u w:val="single"/>
          </w:rPr>
          <w:t>https://laws.boe.gov.sa/BoeLaws/Laws/LawDetails/4763eb94-047b-46f1-9697-a9a700f1b7ed/1</w:t>
        </w:r>
      </w:hyperlink>
      <w:r w:rsidRPr="00C406BC">
        <w:rPr>
          <w:rFonts w:ascii="Traditional Arabic" w:eastAsia="Calibri" w:hAnsi="Traditional Arabic" w:cs="Traditional Arabic"/>
          <w:sz w:val="40"/>
          <w:szCs w:val="40"/>
          <w:rtl/>
        </w:rPr>
        <w:t xml:space="preserve"> </w:t>
      </w:r>
    </w:p>
    <w:p w14:paraId="6F2FFF4F" w14:textId="77777777" w:rsidR="00286DB0" w:rsidRPr="00C406BC" w:rsidRDefault="00286DB0" w:rsidP="005471ED">
      <w:pPr>
        <w:pStyle w:val="a5"/>
        <w:numPr>
          <w:ilvl w:val="1"/>
          <w:numId w:val="23"/>
        </w:numPr>
        <w:tabs>
          <w:tab w:val="num" w:pos="1080"/>
        </w:tabs>
        <w:spacing w:after="240" w:line="360" w:lineRule="auto"/>
        <w:rPr>
          <w:rFonts w:ascii="Traditional Arabic" w:eastAsia="Calibri" w:hAnsi="Traditional Arabic" w:cs="Traditional Arabic"/>
          <w:sz w:val="40"/>
          <w:szCs w:val="40"/>
          <w:rtl/>
          <w:lang w:bidi="ar-EG"/>
        </w:rPr>
      </w:pPr>
      <w:r w:rsidRPr="00C406BC">
        <w:rPr>
          <w:rFonts w:ascii="Traditional Arabic" w:eastAsia="Calibri" w:hAnsi="Traditional Arabic" w:cs="Traditional Arabic"/>
          <w:sz w:val="40"/>
          <w:szCs w:val="40"/>
          <w:rtl/>
        </w:rPr>
        <w:t>يونس، علي. الأوراق التجارية. بند رقم ٤٣٩، لعام ١٩٦١م.</w:t>
      </w:r>
    </w:p>
    <w:p w14:paraId="1F625DE1" w14:textId="77777777" w:rsidR="00286DB0" w:rsidRPr="00C406BC" w:rsidRDefault="00286DB0" w:rsidP="00C406BC">
      <w:pPr>
        <w:spacing w:after="240" w:line="360" w:lineRule="auto"/>
        <w:ind w:left="360"/>
        <w:rPr>
          <w:rFonts w:ascii="Traditional Arabic" w:eastAsia="Calibri" w:hAnsi="Traditional Arabic" w:cs="Traditional Arabic"/>
          <w:sz w:val="40"/>
          <w:szCs w:val="40"/>
          <w:rtl/>
        </w:rPr>
      </w:pPr>
    </w:p>
    <w:p w14:paraId="1BB85509" w14:textId="77777777" w:rsidR="00286DB0" w:rsidRPr="00C406BC" w:rsidRDefault="00286DB0" w:rsidP="00C406BC">
      <w:pPr>
        <w:spacing w:after="240" w:line="360" w:lineRule="auto"/>
        <w:ind w:left="360"/>
        <w:rPr>
          <w:rFonts w:ascii="Traditional Arabic" w:eastAsia="Calibri" w:hAnsi="Traditional Arabic" w:cs="Traditional Arabic"/>
          <w:sz w:val="40"/>
          <w:szCs w:val="40"/>
        </w:rPr>
      </w:pPr>
    </w:p>
    <w:p w14:paraId="09A2FB03" w14:textId="77777777" w:rsidR="00286DB0" w:rsidRPr="00C406BC" w:rsidRDefault="00286DB0" w:rsidP="00C406BC">
      <w:pPr>
        <w:spacing w:after="240" w:line="360" w:lineRule="auto"/>
        <w:ind w:firstLine="720"/>
        <w:rPr>
          <w:rFonts w:ascii="Traditional Arabic" w:eastAsia="Calibri" w:hAnsi="Traditional Arabic" w:cs="Traditional Arabic"/>
          <w:sz w:val="40"/>
          <w:szCs w:val="40"/>
        </w:rPr>
      </w:pPr>
    </w:p>
    <w:p w14:paraId="64C9A8C8" w14:textId="55F49134" w:rsidR="00286DB0" w:rsidRDefault="00286DB0" w:rsidP="00C406BC">
      <w:pPr>
        <w:spacing w:after="240" w:line="360" w:lineRule="auto"/>
        <w:ind w:firstLine="720"/>
        <w:rPr>
          <w:rFonts w:ascii="Traditional Arabic" w:hAnsi="Traditional Arabic" w:cs="Traditional Arabic"/>
          <w:sz w:val="40"/>
          <w:szCs w:val="40"/>
          <w:rtl/>
        </w:rPr>
      </w:pPr>
    </w:p>
    <w:p w14:paraId="2273685C" w14:textId="40775D8D" w:rsidR="000534D9" w:rsidRDefault="000534D9" w:rsidP="00C406BC">
      <w:pPr>
        <w:spacing w:after="240" w:line="360" w:lineRule="auto"/>
        <w:ind w:firstLine="720"/>
        <w:rPr>
          <w:rFonts w:ascii="Traditional Arabic" w:hAnsi="Traditional Arabic" w:cs="Traditional Arabic"/>
          <w:sz w:val="40"/>
          <w:szCs w:val="40"/>
          <w:rtl/>
        </w:rPr>
      </w:pPr>
    </w:p>
    <w:p w14:paraId="3E4CB2AE" w14:textId="1F6F897E" w:rsidR="000534D9" w:rsidRDefault="000534D9" w:rsidP="00C406BC">
      <w:pPr>
        <w:spacing w:after="240" w:line="360" w:lineRule="auto"/>
        <w:ind w:firstLine="720"/>
        <w:rPr>
          <w:rFonts w:ascii="Traditional Arabic" w:hAnsi="Traditional Arabic" w:cs="Traditional Arabic"/>
          <w:sz w:val="40"/>
          <w:szCs w:val="40"/>
          <w:rtl/>
        </w:rPr>
      </w:pPr>
    </w:p>
    <w:p w14:paraId="14FA56CE" w14:textId="62E0E0DE" w:rsidR="000534D9" w:rsidRDefault="000534D9" w:rsidP="00C406BC">
      <w:pPr>
        <w:spacing w:after="240" w:line="360" w:lineRule="auto"/>
        <w:ind w:firstLine="720"/>
        <w:rPr>
          <w:rFonts w:ascii="Traditional Arabic" w:hAnsi="Traditional Arabic" w:cs="Traditional Arabic"/>
          <w:sz w:val="40"/>
          <w:szCs w:val="40"/>
          <w:rtl/>
        </w:rPr>
      </w:pPr>
    </w:p>
    <w:p w14:paraId="322109FA" w14:textId="77777777" w:rsidR="000534D9" w:rsidRPr="00C406BC" w:rsidRDefault="000534D9" w:rsidP="000534D9">
      <w:pPr>
        <w:spacing w:after="240" w:line="360" w:lineRule="auto"/>
        <w:rPr>
          <w:rFonts w:ascii="Traditional Arabic" w:hAnsi="Traditional Arabic" w:cs="Traditional Arabic"/>
          <w:sz w:val="40"/>
          <w:szCs w:val="40"/>
        </w:rPr>
      </w:pPr>
    </w:p>
    <w:sectPr w:rsidR="000534D9" w:rsidRPr="00C406BC" w:rsidSect="00C406BC">
      <w:footerReference w:type="default" r:id="rId10"/>
      <w:pgSz w:w="12240" w:h="15840"/>
      <w:pgMar w:top="1440" w:right="1440" w:bottom="1440" w:left="1440" w:header="720" w:footer="720" w:gutter="0"/>
      <w:pgBorders w:offsetFrom="page">
        <w:top w:val="certificateBanner" w:sz="31" w:space="24" w:color="auto"/>
        <w:left w:val="certificateBanner" w:sz="31" w:space="24" w:color="auto"/>
        <w:bottom w:val="certificateBanner" w:sz="31" w:space="24" w:color="auto"/>
        <w:right w:val="certificateBanner" w:sz="31" w:space="24" w:color="auto"/>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F47AB9" w14:textId="77777777" w:rsidR="00F3799A" w:rsidRDefault="00F3799A" w:rsidP="000C533B">
      <w:pPr>
        <w:spacing w:after="0" w:line="240" w:lineRule="auto"/>
      </w:pPr>
      <w:r>
        <w:separator/>
      </w:r>
    </w:p>
  </w:endnote>
  <w:endnote w:type="continuationSeparator" w:id="0">
    <w:p w14:paraId="5C8A1BB4" w14:textId="77777777" w:rsidR="00F3799A" w:rsidRDefault="00F3799A" w:rsidP="000C5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ar(--secondary-font)">
    <w:altName w:val="Cambria"/>
    <w:panose1 w:val="00000000000000000000"/>
    <w:charset w:val="00"/>
    <w:family w:val="roman"/>
    <w:notTrueType/>
    <w:pitch w:val="default"/>
  </w:font>
  <w:font w:name="Traditional Arabic">
    <w:panose1 w:val="02020603050405020304"/>
    <w:charset w:val="00"/>
    <w:family w:val="roman"/>
    <w:pitch w:val="variable"/>
    <w:sig w:usb0="00002003" w:usb1="80000000" w:usb2="00000008" w:usb3="00000000" w:csb0="0000004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1475712610"/>
      <w:docPartObj>
        <w:docPartGallery w:val="Page Numbers (Bottom of Page)"/>
        <w:docPartUnique/>
      </w:docPartObj>
    </w:sdtPr>
    <w:sdtContent>
      <w:p w14:paraId="52E6A385" w14:textId="277F20E2" w:rsidR="00C406BC" w:rsidRDefault="00182962">
        <w:pPr>
          <w:pStyle w:val="a7"/>
          <w:jc w:val="center"/>
        </w:pPr>
        <w:r>
          <w:rPr>
            <w:noProof/>
            <w:rtl/>
            <w14:ligatures w14:val="none"/>
          </w:rPr>
          <mc:AlternateContent>
            <mc:Choice Requires="wps">
              <w:drawing>
                <wp:inline distT="0" distB="0" distL="0" distR="0" wp14:anchorId="531D4582" wp14:editId="79BC1CAD">
                  <wp:extent cx="418465" cy="237490"/>
                  <wp:effectExtent l="0" t="0" r="19685" b="10160"/>
                  <wp:docPr id="5"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465" cy="237490"/>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795527D9" w14:textId="77777777" w:rsidR="00C406BC" w:rsidRPr="00C406BC" w:rsidRDefault="00C406BC">
                              <w:pPr>
                                <w:jc w:val="center"/>
                              </w:pPr>
                              <w:r w:rsidRPr="00C406BC">
                                <w:fldChar w:fldCharType="begin"/>
                              </w:r>
                              <w:r w:rsidRPr="00C406BC">
                                <w:instrText xml:space="preserve"> PAGE    \* MERGEFORMAT </w:instrText>
                              </w:r>
                              <w:r w:rsidRPr="00C406BC">
                                <w:fldChar w:fldCharType="separate"/>
                              </w:r>
                              <w:r w:rsidR="00A85F14" w:rsidRPr="00A85F14">
                                <w:rPr>
                                  <w:b/>
                                  <w:bCs/>
                                  <w:noProof/>
                                  <w:rtl/>
                                </w:rPr>
                                <w:t>81</w:t>
                              </w:r>
                              <w:r w:rsidRPr="00C406BC">
                                <w:rPr>
                                  <w:b/>
                                  <w:bCs/>
                                  <w:noProof/>
                                </w:rPr>
                                <w:fldChar w:fldCharType="end"/>
                              </w:r>
                            </w:p>
                          </w:txbxContent>
                        </wps:txbx>
                        <wps:bodyPr rot="0" vert="horz" wrap="square" lIns="0" tIns="0" rIns="0" bIns="0" anchor="t" anchorCtr="0" upright="1">
                          <a:noAutofit/>
                        </wps:bodyPr>
                      </wps:wsp>
                    </a:graphicData>
                  </a:graphic>
                </wp:inline>
              </w:drawing>
            </mc:Choice>
            <mc:Fallback>
              <w:pict>
                <v:shapetype w14:anchorId="531D4582" id="_x0000_t202" coordsize="21600,21600" o:spt="202" path="m,l,21600r21600,l21600,xe">
                  <v:stroke joinstyle="miter"/>
                  <v:path gradientshapeok="t" o:connecttype="rect"/>
                </v:shapetype>
                <v:shape id="Text Box 49" o:spid="_x0000_s1026" type="#_x0000_t202" style="width:32.95pt;height:1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" fillcolor="white [3201]" strokecolor="#ed7d31 [3205]" strokeweight="1pt">
                  <v:textbox inset="0,0,0,0">
                    <w:txbxContent>
                      <w:p w14:paraId="795527D9" w14:textId="77777777" w:rsidR="00C406BC" w:rsidRPr="00C406BC" w:rsidRDefault="00C406BC">
                        <w:pPr>
                          <w:jc w:val="center"/>
                        </w:pPr>
                        <w:r w:rsidRPr="00C406BC">
                          <w:fldChar w:fldCharType="begin"/>
                        </w:r>
                        <w:r w:rsidRPr="00C406BC">
                          <w:instrText xml:space="preserve"> PAGE    \* MERGEFORMAT </w:instrText>
                        </w:r>
                        <w:r w:rsidRPr="00C406BC">
                          <w:fldChar w:fldCharType="separate"/>
                        </w:r>
                        <w:r w:rsidR="00A85F14" w:rsidRPr="00A85F14">
                          <w:rPr>
                            <w:b/>
                            <w:bCs/>
                            <w:noProof/>
                            <w:rtl/>
                          </w:rPr>
                          <w:t>81</w:t>
                        </w:r>
                        <w:r w:rsidRPr="00C406BC">
                          <w:rPr>
                            <w:b/>
                            <w:bCs/>
                            <w:noProof/>
                          </w:rPr>
                          <w:fldChar w:fldCharType="end"/>
                        </w:r>
                      </w:p>
                    </w:txbxContent>
                  </v:textbox>
                  <w10:wrap anchorx="page"/>
                  <w10:anchorlock/>
                </v:shape>
              </w:pict>
            </mc:Fallback>
          </mc:AlternateContent>
        </w:r>
      </w:p>
    </w:sdtContent>
  </w:sdt>
  <w:p w14:paraId="0F9E618F" w14:textId="077A7805" w:rsidR="00286DB0" w:rsidRDefault="00286DB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546371" w14:textId="77777777" w:rsidR="00F3799A" w:rsidRDefault="00F3799A" w:rsidP="000C533B">
      <w:pPr>
        <w:spacing w:after="0" w:line="240" w:lineRule="auto"/>
      </w:pPr>
      <w:r>
        <w:separator/>
      </w:r>
    </w:p>
  </w:footnote>
  <w:footnote w:type="continuationSeparator" w:id="0">
    <w:p w14:paraId="418FF6E4" w14:textId="77777777" w:rsidR="00F3799A" w:rsidRDefault="00F3799A" w:rsidP="000C533B">
      <w:pPr>
        <w:spacing w:after="0" w:line="240" w:lineRule="auto"/>
      </w:pPr>
      <w:r>
        <w:continuationSeparator/>
      </w:r>
    </w:p>
  </w:footnote>
  <w:footnote w:id="1">
    <w:p w14:paraId="3153A08E" w14:textId="31016600" w:rsidR="00A42F7D" w:rsidRDefault="00A42F7D" w:rsidP="00A42F7D">
      <w:pPr>
        <w:pStyle w:val="a3"/>
      </w:pPr>
      <w:r>
        <w:rPr>
          <w:rStyle w:val="a4"/>
        </w:rPr>
        <w:footnoteRef/>
      </w:r>
      <w:r>
        <w:rPr>
          <w:rtl/>
        </w:rPr>
        <w:t xml:space="preserve"> </w:t>
      </w:r>
      <w:r w:rsidR="00A71096">
        <w:rPr>
          <w:rFonts w:hint="cs"/>
          <w:rtl/>
        </w:rPr>
        <w:t xml:space="preserve">أبو الحسين أحمد بن فارس بن زكريا، </w:t>
      </w:r>
      <w:r w:rsidRPr="00A42F7D">
        <w:rPr>
          <w:rFonts w:hint="cs"/>
          <w:rtl/>
        </w:rPr>
        <w:t>مقاييس اللغة،</w:t>
      </w:r>
      <w:r w:rsidR="00A71096">
        <w:rPr>
          <w:rFonts w:hint="cs"/>
          <w:rtl/>
        </w:rPr>
        <w:t xml:space="preserve"> دار الحديث، القاهرة، 2008،</w:t>
      </w:r>
      <w:r w:rsidRPr="00A42F7D">
        <w:rPr>
          <w:rFonts w:hint="cs"/>
          <w:rtl/>
        </w:rPr>
        <w:t xml:space="preserve"> باب القاف والدال والميم (5/65)، </w:t>
      </w:r>
      <w:r w:rsidR="00A71096">
        <w:rPr>
          <w:rFonts w:hint="cs"/>
          <w:rtl/>
        </w:rPr>
        <w:t xml:space="preserve">أبو نصر إسماعيل بن حماد الجوهري الفارابي، </w:t>
      </w:r>
      <w:r w:rsidRPr="00A42F7D">
        <w:rPr>
          <w:rFonts w:hint="cs"/>
          <w:rtl/>
        </w:rPr>
        <w:t>الصحاح</w:t>
      </w:r>
      <w:r w:rsidR="00A71096">
        <w:rPr>
          <w:rFonts w:hint="cs"/>
          <w:rtl/>
        </w:rPr>
        <w:t xml:space="preserve"> تاج اللغة وصحاح العربية، دار العلم للملايين، الطبعة الرابعة 1987م، </w:t>
      </w:r>
      <w:r w:rsidRPr="00A42F7D">
        <w:rPr>
          <w:rFonts w:hint="cs"/>
          <w:rtl/>
        </w:rPr>
        <w:t>مادة (قدم) ص:249(249).</w:t>
      </w:r>
    </w:p>
  </w:footnote>
  <w:footnote w:id="2">
    <w:p w14:paraId="339B43A6" w14:textId="18432E27" w:rsidR="00286DB0" w:rsidRPr="00C406BC" w:rsidRDefault="00286DB0" w:rsidP="00C406BC">
      <w:pPr>
        <w:pStyle w:val="a3"/>
        <w:spacing w:line="360" w:lineRule="auto"/>
        <w:rPr>
          <w:rFonts w:ascii="Traditional Arabic" w:hAnsi="Traditional Arabic" w:cs="Traditional Arabic"/>
          <w:sz w:val="28"/>
          <w:szCs w:val="28"/>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tl/>
        </w:rPr>
        <w:t xml:space="preserve"> العمران، عبد الله. "الأوراق التجارية في النظام السعودي." مطابع معهد الإدارة، سنة 149هـ، ص 235.</w:t>
      </w:r>
    </w:p>
  </w:footnote>
  <w:footnote w:id="3">
    <w:p w14:paraId="016081FF" w14:textId="3C02FB32" w:rsidR="00286DB0" w:rsidRPr="00C406BC" w:rsidRDefault="00286DB0" w:rsidP="00C406BC">
      <w:pPr>
        <w:pStyle w:val="a3"/>
        <w:spacing w:line="360" w:lineRule="auto"/>
        <w:rPr>
          <w:rFonts w:ascii="Traditional Arabic" w:hAnsi="Traditional Arabic" w:cs="Traditional Arabic"/>
          <w:sz w:val="28"/>
          <w:szCs w:val="28"/>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tl/>
        </w:rPr>
        <w:t xml:space="preserve"> سالم، محمود. "السقوط والتقادم في الأوراق التجارية." الطبعة الأولى، القاهرة، 1406هـ/1986م، ص 1</w:t>
      </w:r>
    </w:p>
  </w:footnote>
  <w:footnote w:id="4">
    <w:p w14:paraId="0B77717D" w14:textId="0BA68D9F" w:rsidR="00286DB0" w:rsidRPr="00C406BC" w:rsidRDefault="00286DB0" w:rsidP="00C406BC">
      <w:pPr>
        <w:pStyle w:val="a3"/>
        <w:spacing w:before="240" w:after="240"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00C406BC" w:rsidRPr="00C406BC">
        <w:rPr>
          <w:rFonts w:ascii="Traditional Arabic" w:hAnsi="Traditional Arabic" w:cs="Traditional Arabic"/>
          <w:sz w:val="28"/>
          <w:szCs w:val="28"/>
          <w:rtl/>
          <w:lang w:bidi="ar-EG"/>
        </w:rPr>
        <w:t>المذكرة التفسيرية لنظام الأوراق التجارية، ص: ٦٨</w:t>
      </w:r>
    </w:p>
  </w:footnote>
  <w:footnote w:id="5">
    <w:p w14:paraId="19BE119C" w14:textId="417A1499" w:rsidR="00A42F7D" w:rsidRPr="00A42F7D" w:rsidRDefault="00A42F7D" w:rsidP="007B39E2">
      <w:pPr>
        <w:pStyle w:val="a3"/>
        <w:ind w:left="90"/>
        <w:rPr>
          <w:rtl/>
        </w:rPr>
      </w:pPr>
      <w:r>
        <w:rPr>
          <w:rStyle w:val="a4"/>
        </w:rPr>
        <w:footnoteRef/>
      </w:r>
      <w:r w:rsidR="0084625F">
        <w:rPr>
          <w:rFonts w:hint="cs"/>
          <w:rtl/>
        </w:rPr>
        <w:t>.</w:t>
      </w:r>
      <w:r>
        <w:rPr>
          <w:rtl/>
        </w:rPr>
        <w:t xml:space="preserve"> </w:t>
      </w:r>
      <w:r w:rsidR="007B39E2">
        <w:rPr>
          <w:rFonts w:hint="cs"/>
          <w:rtl/>
        </w:rPr>
        <w:t>د. إيمان الجميل تقادم</w:t>
      </w:r>
      <w:r w:rsidR="007B39E2" w:rsidRPr="00A42F7D">
        <w:rPr>
          <w:rFonts w:hint="cs"/>
          <w:rtl/>
        </w:rPr>
        <w:t xml:space="preserve"> الدعوى في عقد النقل البحري دراسة مقارنة في التشريع الوطني والاتفاقيات الدولية، المكتب الجامعي الحديث، الطبعة الأولى</w:t>
      </w:r>
      <w:r w:rsidRPr="00A42F7D">
        <w:rPr>
          <w:rFonts w:hint="cs"/>
          <w:rtl/>
        </w:rPr>
        <w:t>،2016ص (21)</w:t>
      </w:r>
    </w:p>
    <w:p w14:paraId="338F3AEC" w14:textId="2BB64EDC" w:rsidR="00A42F7D" w:rsidRDefault="00A42F7D">
      <w:pPr>
        <w:pStyle w:val="a3"/>
        <w:rPr>
          <w:rtl/>
        </w:rPr>
      </w:pPr>
    </w:p>
  </w:footnote>
  <w:footnote w:id="6">
    <w:p w14:paraId="00498C39" w14:textId="77777777" w:rsidR="00286DB0" w:rsidRPr="00C406BC" w:rsidRDefault="00286DB0" w:rsidP="00C406BC">
      <w:pPr>
        <w:pStyle w:val="a3"/>
        <w:spacing w:before="240" w:after="240"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عبيد، رضا. "القانون التجاري." الطبعة الخامسة، القاهرة، 1984/5م، ص 362.</w:t>
      </w:r>
    </w:p>
  </w:footnote>
  <w:footnote w:id="7">
    <w:p w14:paraId="209528F2" w14:textId="77777777" w:rsidR="00286DB0" w:rsidRPr="00C406BC" w:rsidRDefault="00286DB0" w:rsidP="00C406BC">
      <w:pPr>
        <w:pStyle w:val="a3"/>
        <w:spacing w:before="240" w:after="240"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سالم، محمود. المرجع السابق، ص365</w:t>
      </w:r>
    </w:p>
  </w:footnote>
  <w:footnote w:id="8">
    <w:p w14:paraId="15509546" w14:textId="77777777" w:rsidR="00286DB0" w:rsidRPr="00C406BC" w:rsidRDefault="00286DB0" w:rsidP="00C406BC">
      <w:pPr>
        <w:pStyle w:val="a3"/>
        <w:spacing w:before="240" w:after="240"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عبيد، رضا. المرجع السابق، ص368</w:t>
      </w:r>
    </w:p>
  </w:footnote>
  <w:footnote w:id="9">
    <w:p w14:paraId="15BF8263" w14:textId="74EF1045" w:rsidR="00286DB0" w:rsidRPr="00C406BC" w:rsidRDefault="00286DB0" w:rsidP="00C406BC">
      <w:pPr>
        <w:pStyle w:val="a3"/>
        <w:spacing w:line="360" w:lineRule="auto"/>
        <w:rPr>
          <w:rFonts w:ascii="Traditional Arabic" w:hAnsi="Traditional Arabic" w:cs="Traditional Arabic"/>
          <w:sz w:val="28"/>
          <w:szCs w:val="28"/>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tl/>
        </w:rPr>
        <w:t xml:space="preserve"> محمد عبد الجواد، التطور التشريعي في المملكة العربية </w:t>
      </w:r>
      <w:r w:rsidR="006B1A5C" w:rsidRPr="00C406BC">
        <w:rPr>
          <w:rFonts w:ascii="Traditional Arabic" w:hAnsi="Traditional Arabic" w:cs="Traditional Arabic" w:hint="cs"/>
          <w:sz w:val="28"/>
          <w:szCs w:val="28"/>
          <w:rtl/>
        </w:rPr>
        <w:t>السعودية،</w:t>
      </w:r>
      <w:r w:rsidRPr="00C406BC">
        <w:rPr>
          <w:rFonts w:ascii="Traditional Arabic" w:hAnsi="Traditional Arabic" w:cs="Traditional Arabic"/>
          <w:sz w:val="28"/>
          <w:szCs w:val="28"/>
          <w:rtl/>
        </w:rPr>
        <w:t xml:space="preserve"> ( بند </w:t>
      </w:r>
      <w:r w:rsidRPr="00C406BC">
        <w:rPr>
          <w:rFonts w:ascii="Traditional Arabic" w:hAnsi="Traditional Arabic" w:cs="Traditional Arabic"/>
          <w:sz w:val="28"/>
          <w:szCs w:val="28"/>
          <w:rtl/>
          <w:lang w:bidi="fa-IR"/>
        </w:rPr>
        <w:t>۳۹ )</w:t>
      </w:r>
    </w:p>
  </w:footnote>
  <w:footnote w:id="10">
    <w:p w14:paraId="6304043F" w14:textId="24369F79" w:rsidR="00286DB0" w:rsidRPr="00C406BC" w:rsidRDefault="00286DB0" w:rsidP="00C406BC">
      <w:pPr>
        <w:pStyle w:val="a3"/>
        <w:spacing w:line="360" w:lineRule="auto"/>
        <w:rPr>
          <w:rFonts w:ascii="Traditional Arabic" w:hAnsi="Traditional Arabic" w:cs="Traditional Arabic"/>
          <w:sz w:val="28"/>
          <w:szCs w:val="28"/>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tl/>
        </w:rPr>
        <w:t xml:space="preserve"> </w:t>
      </w:r>
      <w:r w:rsidR="00C406BC" w:rsidRPr="00C406BC">
        <w:rPr>
          <w:rFonts w:ascii="Traditional Arabic" w:hAnsi="Traditional Arabic" w:cs="Traditional Arabic"/>
          <w:sz w:val="28"/>
          <w:szCs w:val="28"/>
          <w:rtl/>
        </w:rPr>
        <w:t xml:space="preserve">محمود مختار البريري، المرجع السابق، </w:t>
      </w:r>
      <w:r w:rsidR="006B1A5C" w:rsidRPr="00C406BC">
        <w:rPr>
          <w:rFonts w:ascii="Traditional Arabic" w:hAnsi="Traditional Arabic" w:cs="Traditional Arabic" w:hint="cs"/>
          <w:sz w:val="28"/>
          <w:szCs w:val="28"/>
          <w:rtl/>
        </w:rPr>
        <w:t>ص:</w:t>
      </w:r>
      <w:r w:rsidR="00C406BC" w:rsidRPr="00C406BC">
        <w:rPr>
          <w:rFonts w:ascii="Traditional Arabic" w:hAnsi="Traditional Arabic" w:cs="Traditional Arabic"/>
          <w:sz w:val="28"/>
          <w:szCs w:val="28"/>
          <w:rtl/>
        </w:rPr>
        <w:t xml:space="preserve"> ٢٢٦.</w:t>
      </w:r>
    </w:p>
  </w:footnote>
  <w:footnote w:id="11">
    <w:p w14:paraId="4F7B599F" w14:textId="77777777" w:rsidR="00286DB0" w:rsidRPr="00C406BC" w:rsidRDefault="00286DB0" w:rsidP="00C406BC">
      <w:pPr>
        <w:pStyle w:val="a3"/>
        <w:spacing w:before="240" w:after="240"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"نظام الجمارك واللائحة التنفيذية." الطبعة الثانية، الرياض، 1400هـ، مطابع الحكومة الأمنية.</w:t>
      </w:r>
    </w:p>
  </w:footnote>
  <w:footnote w:id="12">
    <w:p w14:paraId="4A2A15A2" w14:textId="77777777" w:rsidR="00286DB0" w:rsidRPr="00C406BC" w:rsidRDefault="00286DB0" w:rsidP="00C406BC">
      <w:pPr>
        <w:pStyle w:val="a3"/>
        <w:spacing w:before="240" w:after="240"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سالم، محمود. المرجع السابق، ص 364.</w:t>
      </w:r>
    </w:p>
  </w:footnote>
  <w:footnote w:id="13">
    <w:p w14:paraId="4B8CBEC5" w14:textId="77777777" w:rsidR="00286DB0" w:rsidRPr="00C406BC" w:rsidRDefault="00286DB0" w:rsidP="00C406BC">
      <w:pPr>
        <w:pStyle w:val="a3"/>
        <w:spacing w:before="240" w:after="240"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سالم، محمود. المرجع السابق، ص 2.</w:t>
      </w:r>
    </w:p>
  </w:footnote>
  <w:footnote w:id="14">
    <w:p w14:paraId="717F5A03" w14:textId="77777777" w:rsidR="00286DB0" w:rsidRPr="00C406BC" w:rsidRDefault="00286DB0" w:rsidP="00C406BC">
      <w:pPr>
        <w:pStyle w:val="a3"/>
        <w:spacing w:before="240" w:after="240"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محمد، محمد عبد الجواد. المرجع السابق، ص 173.</w:t>
      </w:r>
    </w:p>
  </w:footnote>
  <w:footnote w:id="15">
    <w:p w14:paraId="3DAD2C1C" w14:textId="77777777" w:rsidR="00286DB0" w:rsidRPr="00C406BC" w:rsidRDefault="00286DB0" w:rsidP="00C406BC">
      <w:pPr>
        <w:pStyle w:val="a3"/>
        <w:spacing w:before="240" w:after="240"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مرقس، سليمان. المرجع السابق، ص 874.</w:t>
      </w:r>
    </w:p>
  </w:footnote>
  <w:footnote w:id="16">
    <w:p w14:paraId="3782144D" w14:textId="77777777" w:rsidR="00286DB0" w:rsidRPr="00C406BC" w:rsidRDefault="00286DB0" w:rsidP="00C406BC">
      <w:pPr>
        <w:pStyle w:val="a3"/>
        <w:spacing w:before="240" w:after="240"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قرار مجلس الوزراء السعودي رقم 968، تاريخ 13/9/132هـ، جريدة أم القرى العدد 2449، 25/10/1392هـ.</w:t>
      </w:r>
    </w:p>
  </w:footnote>
  <w:footnote w:id="17">
    <w:p w14:paraId="1451978E" w14:textId="77777777" w:rsidR="00286DB0" w:rsidRPr="00C406BC" w:rsidRDefault="00286DB0" w:rsidP="00C406BC">
      <w:pPr>
        <w:pStyle w:val="a3"/>
        <w:spacing w:before="240" w:after="240"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سالم، محمود. المرجع السابق، ص 67، 150.</w:t>
      </w:r>
    </w:p>
  </w:footnote>
  <w:footnote w:id="18">
    <w:p w14:paraId="192FE44D" w14:textId="77777777" w:rsidR="00286DB0" w:rsidRPr="00C406BC" w:rsidRDefault="00286DB0" w:rsidP="00C406BC">
      <w:pPr>
        <w:pStyle w:val="a3"/>
        <w:spacing w:before="240" w:after="240"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العمران، عبد الله. المرجع السابق، ص 236.</w:t>
      </w:r>
    </w:p>
  </w:footnote>
  <w:footnote w:id="19">
    <w:p w14:paraId="5D561CE9" w14:textId="77777777" w:rsidR="00286DB0" w:rsidRPr="00C406BC" w:rsidRDefault="00286DB0" w:rsidP="00C406BC">
      <w:pPr>
        <w:pStyle w:val="a3"/>
        <w:spacing w:before="240" w:after="240"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ديوان المظالم. المرجع السابق، ص 3، 469.</w:t>
      </w:r>
    </w:p>
  </w:footnote>
  <w:footnote w:id="20">
    <w:p w14:paraId="4BA006A9" w14:textId="77777777" w:rsidR="00286DB0" w:rsidRPr="00C406BC" w:rsidRDefault="00286DB0" w:rsidP="00C406BC">
      <w:pPr>
        <w:pStyle w:val="a3"/>
        <w:spacing w:before="240" w:after="240"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عبيد، رضا. "القانون التجاري." الطبعة الخامسة، القاهرة، 1984/5م، ص 362.</w:t>
      </w:r>
    </w:p>
  </w:footnote>
  <w:footnote w:id="21">
    <w:p w14:paraId="552C7070" w14:textId="77777777" w:rsidR="00286DB0" w:rsidRPr="00C406BC" w:rsidRDefault="00286DB0" w:rsidP="00C406BC">
      <w:pPr>
        <w:pStyle w:val="a3"/>
        <w:spacing w:before="240" w:after="240"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مرقس، سليمان. "شرح القانون المدني." مجلة الأمن، العدد الحادي عشر، جمادى الأولى 1416هـ، ص 857.</w:t>
      </w:r>
    </w:p>
  </w:footnote>
  <w:footnote w:id="22">
    <w:p w14:paraId="24E259DF" w14:textId="77777777" w:rsidR="00286DB0" w:rsidRPr="00C406BC" w:rsidRDefault="00286DB0" w:rsidP="00C406BC">
      <w:pPr>
        <w:pStyle w:val="a3"/>
        <w:spacing w:before="240" w:after="240"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العمران، عبد الله. المرجع السابق، ص 235، وانظر: المادة (84) من نظام تنظيم الأعمال الإدارية في الدوائر الشرعية الصادر برقم 109 وتاريخ 1372/1/2ه</w:t>
      </w:r>
    </w:p>
  </w:footnote>
  <w:footnote w:id="23">
    <w:p w14:paraId="1A9E8A0B" w14:textId="77777777" w:rsidR="00286DB0" w:rsidRPr="00C406BC" w:rsidRDefault="00286DB0" w:rsidP="00C406BC">
      <w:pPr>
        <w:pStyle w:val="a3"/>
        <w:spacing w:before="240" w:after="240"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أحمد السنهوري، عبد الرزاق. "شرح القانون المدني الجديد." الطبعة الثالثة، 1964م، ص 997.</w:t>
      </w:r>
    </w:p>
  </w:footnote>
  <w:footnote w:id="24">
    <w:p w14:paraId="4F228D28" w14:textId="77777777" w:rsidR="00286DB0" w:rsidRPr="00C406BC" w:rsidRDefault="00286DB0" w:rsidP="00C406BC">
      <w:pPr>
        <w:pStyle w:val="a3"/>
        <w:spacing w:before="240" w:after="240"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المبادئ الشرعية والنظامية في ديوان المظالم، الفقرة 289، عام 1398هـ، ص 469-472.</w:t>
      </w:r>
    </w:p>
  </w:footnote>
  <w:footnote w:id="25">
    <w:p w14:paraId="7B8E041B" w14:textId="77777777" w:rsidR="00286DB0" w:rsidRPr="00C406BC" w:rsidRDefault="00286DB0" w:rsidP="00C406BC">
      <w:pPr>
        <w:pStyle w:val="a3"/>
        <w:spacing w:before="240" w:after="240"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سالم، محمود. المرجع السابق، ص 1-2.</w:t>
      </w:r>
    </w:p>
  </w:footnote>
  <w:footnote w:id="26">
    <w:p w14:paraId="12407214" w14:textId="77777777" w:rsidR="00286DB0" w:rsidRPr="00C406BC" w:rsidRDefault="00286DB0" w:rsidP="00C406BC">
      <w:pPr>
        <w:pStyle w:val="a3"/>
        <w:spacing w:before="240" w:after="240"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الخولي، أكثم أمين. الأوراق التجارية. ص. ٢٣.</w:t>
      </w:r>
    </w:p>
  </w:footnote>
  <w:footnote w:id="27">
    <w:p w14:paraId="4D651CE4" w14:textId="77777777" w:rsidR="00286DB0" w:rsidRPr="00C406BC" w:rsidRDefault="00286DB0" w:rsidP="00C406BC">
      <w:pPr>
        <w:pStyle w:val="a3"/>
        <w:spacing w:before="240" w:after="240"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المرجع السابق، ص 44-03.</w:t>
      </w:r>
    </w:p>
  </w:footnote>
  <w:footnote w:id="28">
    <w:p w14:paraId="3B123670" w14:textId="77777777" w:rsidR="00286DB0" w:rsidRPr="00C406BC" w:rsidRDefault="00286DB0" w:rsidP="00C406BC">
      <w:pPr>
        <w:pStyle w:val="a3"/>
        <w:spacing w:before="240" w:after="240"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مالك بن أنس. "المدونة الكبرى." بيروت، دار السعادة، 1323هـ، ج 42/13.</w:t>
      </w:r>
    </w:p>
  </w:footnote>
  <w:footnote w:id="29">
    <w:p w14:paraId="44BF37D6" w14:textId="77777777" w:rsidR="00286DB0" w:rsidRPr="00C406BC" w:rsidRDefault="00286DB0" w:rsidP="00C406BC">
      <w:pPr>
        <w:pStyle w:val="a3"/>
        <w:spacing w:before="240" w:after="240"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سالم، محمود. المرجع السابق، ص 325.</w:t>
      </w:r>
    </w:p>
  </w:footnote>
  <w:footnote w:id="30">
    <w:p w14:paraId="76CDDBB7" w14:textId="77777777" w:rsidR="00286DB0" w:rsidRPr="00C406BC" w:rsidRDefault="00286DB0" w:rsidP="00C406BC">
      <w:pPr>
        <w:pStyle w:val="a3"/>
        <w:spacing w:before="240" w:after="240"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طه، مصطفى. "القانون التجاري." الإسكندرية، عام 1980م، ص 209.</w:t>
      </w:r>
    </w:p>
  </w:footnote>
  <w:footnote w:id="31">
    <w:p w14:paraId="5272E68D" w14:textId="77777777" w:rsidR="00286DB0" w:rsidRPr="00C406BC" w:rsidRDefault="00286DB0" w:rsidP="00C406BC">
      <w:pPr>
        <w:pStyle w:val="a3"/>
        <w:spacing w:before="240" w:after="240"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سالم، محمود. المرجع السابق، ص 325.</w:t>
      </w:r>
    </w:p>
  </w:footnote>
  <w:footnote w:id="32">
    <w:p w14:paraId="1D039ECB" w14:textId="77777777" w:rsidR="00286DB0" w:rsidRPr="00C406BC" w:rsidRDefault="00286DB0" w:rsidP="00C406BC">
      <w:pPr>
        <w:pStyle w:val="a3"/>
        <w:spacing w:before="240" w:after="240"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نظام تنظيم الأعمال الإدارية في الدوائر الشرعية، صادر بالمرسوم الملكي رقم 109، تاريخ 24/7/1372هـ، الطبعة الخامسة، الرياض، 1398هـ.</w:t>
      </w:r>
    </w:p>
  </w:footnote>
  <w:footnote w:id="33">
    <w:p w14:paraId="2EEF96FB" w14:textId="77777777" w:rsidR="00286DB0" w:rsidRPr="00C406BC" w:rsidRDefault="00286DB0" w:rsidP="00C406BC">
      <w:pPr>
        <w:pStyle w:val="a3"/>
        <w:spacing w:before="240" w:after="240" w:line="360" w:lineRule="auto"/>
        <w:rPr>
          <w:rFonts w:ascii="Traditional Arabic" w:hAnsi="Traditional Arabic" w:cs="Traditional Arabic"/>
          <w:sz w:val="28"/>
          <w:szCs w:val="28"/>
          <w:rtl/>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العمران، ص ٢٣٥.</w:t>
      </w:r>
    </w:p>
  </w:footnote>
  <w:footnote w:id="34">
    <w:p w14:paraId="387FEEBB" w14:textId="77777777" w:rsidR="00286DB0" w:rsidRPr="00C406BC" w:rsidRDefault="00286DB0" w:rsidP="00C406BC">
      <w:pPr>
        <w:pStyle w:val="a3"/>
        <w:spacing w:before="240" w:after="240"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ابن المسيب. "الطرق الحكمية." القاهرة، مطبعة السنة المحمدية، 1372هـ.</w:t>
      </w:r>
    </w:p>
  </w:footnote>
  <w:footnote w:id="35">
    <w:p w14:paraId="1EF643B8" w14:textId="77777777" w:rsidR="00286DB0" w:rsidRPr="00C406BC" w:rsidRDefault="00286DB0" w:rsidP="00C406BC">
      <w:pPr>
        <w:pStyle w:val="a3"/>
        <w:spacing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 xml:space="preserve">سالم، محمود. ص. </w:t>
      </w:r>
      <w:r w:rsidRPr="00C406BC">
        <w:rPr>
          <w:rFonts w:ascii="Traditional Arabic" w:hAnsi="Traditional Arabic" w:cs="Traditional Arabic"/>
          <w:sz w:val="28"/>
          <w:szCs w:val="28"/>
          <w:rtl/>
          <w:lang w:bidi="fa-IR"/>
        </w:rPr>
        <w:t>۱۹۷.</w:t>
      </w:r>
    </w:p>
  </w:footnote>
  <w:footnote w:id="36">
    <w:p w14:paraId="68909DC4" w14:textId="77777777" w:rsidR="00286DB0" w:rsidRPr="00C406BC" w:rsidRDefault="00286DB0" w:rsidP="00C406BC">
      <w:pPr>
        <w:pStyle w:val="a3"/>
        <w:spacing w:before="240" w:after="240"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مالك بن أنس. "مواهب الجليل." بيروت، دار السعادة، 1323هـ، ص 224/6.</w:t>
      </w:r>
    </w:p>
  </w:footnote>
  <w:footnote w:id="37">
    <w:p w14:paraId="0F0163B0" w14:textId="77777777" w:rsidR="00286DB0" w:rsidRPr="00C406BC" w:rsidRDefault="00286DB0" w:rsidP="00C406BC">
      <w:pPr>
        <w:pStyle w:val="a3"/>
        <w:spacing w:before="240" w:after="240"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مالك بن أنس. "المدونة الكبرى." بيروت، دار السعادة، 1323هـ، ص 42/13.</w:t>
      </w:r>
    </w:p>
  </w:footnote>
  <w:footnote w:id="38">
    <w:p w14:paraId="435A179A" w14:textId="77777777" w:rsidR="00286DB0" w:rsidRPr="00C406BC" w:rsidRDefault="00286DB0" w:rsidP="00C406BC">
      <w:pPr>
        <w:pStyle w:val="a3"/>
        <w:spacing w:before="240" w:after="240"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محمد عبد الجواد محمد. المرجع السابق، ص 50.</w:t>
      </w:r>
    </w:p>
  </w:footnote>
  <w:footnote w:id="39">
    <w:p w14:paraId="72483F6A" w14:textId="77777777" w:rsidR="00286DB0" w:rsidRPr="00C406BC" w:rsidRDefault="00286DB0" w:rsidP="00C406BC">
      <w:pPr>
        <w:pStyle w:val="a3"/>
        <w:spacing w:before="240" w:after="240"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مالك بن أنس. "المدونة الكبرى." بيروت، دار السعادة، 1323هـ، ج 42/13.</w:t>
      </w:r>
    </w:p>
  </w:footnote>
  <w:footnote w:id="40">
    <w:p w14:paraId="58B5C8DB" w14:textId="77777777" w:rsidR="00286DB0" w:rsidRPr="00C406BC" w:rsidRDefault="00286DB0" w:rsidP="00C406BC">
      <w:pPr>
        <w:pStyle w:val="a3"/>
        <w:spacing w:before="240" w:after="240"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الكشناوي، أبو بكر. "أسهل المدارك شرح إرشاد السالك في فقه الإمام مالك." مطبعة الحلبي، ص 237/3.</w:t>
      </w:r>
    </w:p>
  </w:footnote>
  <w:footnote w:id="41">
    <w:p w14:paraId="50E7636E" w14:textId="77777777" w:rsidR="00286DB0" w:rsidRPr="00C406BC" w:rsidRDefault="00286DB0" w:rsidP="00C406BC">
      <w:pPr>
        <w:pStyle w:val="a3"/>
        <w:spacing w:before="240" w:after="240"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مالك بن أنس. "مواهب الجليل." بيروت، دار السعادة، 1323هـ، ص 229/6.</w:t>
      </w:r>
    </w:p>
  </w:footnote>
  <w:footnote w:id="42">
    <w:p w14:paraId="57DE660D" w14:textId="77777777" w:rsidR="00286DB0" w:rsidRPr="00C406BC" w:rsidRDefault="00286DB0" w:rsidP="00C406BC">
      <w:pPr>
        <w:pStyle w:val="a3"/>
        <w:spacing w:before="240" w:after="240"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المحمصاني، ص 572.</w:t>
      </w:r>
    </w:p>
  </w:footnote>
  <w:footnote w:id="43">
    <w:p w14:paraId="09FDDA91" w14:textId="77777777" w:rsidR="00286DB0" w:rsidRPr="00C406BC" w:rsidRDefault="00286DB0" w:rsidP="00C406BC">
      <w:pPr>
        <w:pStyle w:val="a3"/>
        <w:spacing w:before="240" w:after="240"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عبد الجواد، ص 58.</w:t>
      </w:r>
    </w:p>
  </w:footnote>
  <w:footnote w:id="44">
    <w:p w14:paraId="6AB697FB" w14:textId="77777777" w:rsidR="00286DB0" w:rsidRPr="00C406BC" w:rsidRDefault="00286DB0" w:rsidP="00C406BC">
      <w:pPr>
        <w:pStyle w:val="a3"/>
        <w:spacing w:before="240" w:after="240"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العمران، ص 250.</w:t>
      </w:r>
    </w:p>
  </w:footnote>
  <w:footnote w:id="45">
    <w:p w14:paraId="79F177EF" w14:textId="77777777" w:rsidR="00286DB0" w:rsidRPr="00C406BC" w:rsidRDefault="00286DB0" w:rsidP="00C406BC">
      <w:pPr>
        <w:pStyle w:val="a3"/>
        <w:spacing w:before="240" w:after="240"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الخولي، أكثم أمين. الأوراق التجارية. ص. ٢٣.</w:t>
      </w:r>
    </w:p>
  </w:footnote>
  <w:footnote w:id="46">
    <w:p w14:paraId="3F93006A" w14:textId="77777777" w:rsidR="00286DB0" w:rsidRPr="00C406BC" w:rsidRDefault="00286DB0" w:rsidP="00C406BC">
      <w:pPr>
        <w:pStyle w:val="a3"/>
        <w:spacing w:before="240" w:after="240"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محمود مختار البريري، "قانون المعاملات التجارية السعودي." 17/2.</w:t>
      </w:r>
    </w:p>
  </w:footnote>
  <w:footnote w:id="47">
    <w:p w14:paraId="0583AE44" w14:textId="77777777" w:rsidR="00286DB0" w:rsidRPr="00C406BC" w:rsidRDefault="00286DB0" w:rsidP="00C406BC">
      <w:pPr>
        <w:pStyle w:val="a3"/>
        <w:spacing w:before="240" w:after="240"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علي العميريني، "حكم إصدار شيك بدون رصيد في النظام السعودي." مجلة الأمن، العدد السادس، ص 58.</w:t>
      </w:r>
    </w:p>
  </w:footnote>
  <w:footnote w:id="48">
    <w:p w14:paraId="27C10C52" w14:textId="77777777" w:rsidR="00286DB0" w:rsidRPr="00C406BC" w:rsidRDefault="00286DB0" w:rsidP="00C406BC">
      <w:pPr>
        <w:pStyle w:val="a3"/>
        <w:spacing w:before="240" w:after="240"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الحداد، الياس. الأوراق التجارية في النظام السعودي. ص. ٣٧٥.</w:t>
      </w:r>
    </w:p>
  </w:footnote>
  <w:footnote w:id="49">
    <w:p w14:paraId="3402604F" w14:textId="77777777" w:rsidR="00286DB0" w:rsidRPr="00C406BC" w:rsidRDefault="00286DB0" w:rsidP="00C406BC">
      <w:pPr>
        <w:pStyle w:val="a3"/>
        <w:spacing w:before="240" w:after="240"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راتب، محمد على. السندات الإذنية. طبعة ١٩٤٢م. ص. ٤٦٥</w:t>
      </w:r>
    </w:p>
  </w:footnote>
  <w:footnote w:id="50">
    <w:p w14:paraId="5A358B38" w14:textId="77777777" w:rsidR="00286DB0" w:rsidRPr="00C406BC" w:rsidRDefault="00286DB0" w:rsidP="00C406BC">
      <w:pPr>
        <w:pStyle w:val="a3"/>
        <w:spacing w:before="240" w:after="240"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بدر، أمين. الأوراق التجارية في التشريع المصري. طبعة ١٩٥٣م. ص. ١٦، ٥٣١</w:t>
      </w:r>
      <w:r w:rsidRPr="00C406BC">
        <w:rPr>
          <w:rFonts w:ascii="Traditional Arabic" w:hAnsi="Traditional Arabic" w:cs="Traditional Arabic"/>
          <w:sz w:val="28"/>
          <w:szCs w:val="28"/>
          <w:rtl/>
          <w:lang w:bidi="ar-EG"/>
        </w:rPr>
        <w:t>.</w:t>
      </w:r>
    </w:p>
  </w:footnote>
  <w:footnote w:id="51">
    <w:p w14:paraId="532AB8FC" w14:textId="77777777" w:rsidR="00286DB0" w:rsidRPr="00C406BC" w:rsidRDefault="00286DB0" w:rsidP="00C406BC">
      <w:pPr>
        <w:pStyle w:val="a3"/>
        <w:spacing w:before="240" w:after="240"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يونس، علي. الأوراق التجارية. بند رقم ٤٣٩، لعام ١٩٦١م.</w:t>
      </w:r>
    </w:p>
  </w:footnote>
  <w:footnote w:id="52">
    <w:p w14:paraId="29078CFD" w14:textId="77777777" w:rsidR="00286DB0" w:rsidRPr="00C406BC" w:rsidRDefault="00286DB0" w:rsidP="00C406BC">
      <w:pPr>
        <w:pStyle w:val="a3"/>
        <w:spacing w:before="240" w:after="240" w:line="360" w:lineRule="auto"/>
        <w:rPr>
          <w:rFonts w:ascii="Traditional Arabic" w:hAnsi="Traditional Arabic" w:cs="Traditional Arabic"/>
          <w:sz w:val="28"/>
          <w:szCs w:val="28"/>
          <w:rtl/>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العمران. ص. ٢٣٧</w:t>
      </w:r>
      <w:r w:rsidRPr="00C406BC">
        <w:rPr>
          <w:rFonts w:ascii="Traditional Arabic" w:hAnsi="Traditional Arabic" w:cs="Traditional Arabic"/>
          <w:sz w:val="28"/>
          <w:szCs w:val="28"/>
        </w:rPr>
        <w:t>.</w:t>
      </w:r>
    </w:p>
  </w:footnote>
  <w:footnote w:id="53">
    <w:p w14:paraId="21B89FE7" w14:textId="77777777" w:rsidR="00286DB0" w:rsidRPr="00C406BC" w:rsidRDefault="00286DB0" w:rsidP="00C406BC">
      <w:pPr>
        <w:pStyle w:val="a3"/>
        <w:spacing w:before="240" w:after="240"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عبيد، رضا. ص. ٣٦٥</w:t>
      </w:r>
      <w:r w:rsidRPr="00C406BC">
        <w:rPr>
          <w:rFonts w:ascii="Traditional Arabic" w:hAnsi="Traditional Arabic" w:cs="Traditional Arabic"/>
          <w:sz w:val="28"/>
          <w:szCs w:val="28"/>
        </w:rPr>
        <w:t>.</w:t>
      </w:r>
    </w:p>
  </w:footnote>
  <w:footnote w:id="54">
    <w:p w14:paraId="42DB1A2A" w14:textId="77777777" w:rsidR="00286DB0" w:rsidRPr="00C406BC" w:rsidRDefault="00286DB0" w:rsidP="00C406BC">
      <w:pPr>
        <w:pStyle w:val="a3"/>
        <w:spacing w:before="240" w:after="240" w:line="360" w:lineRule="auto"/>
        <w:rPr>
          <w:rFonts w:ascii="Traditional Arabic" w:hAnsi="Traditional Arabic" w:cs="Traditional Arabic"/>
          <w:sz w:val="28"/>
          <w:szCs w:val="28"/>
          <w:rtl/>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سالم، محمود. ص. ٢٥١</w:t>
      </w:r>
      <w:r w:rsidRPr="00C406BC">
        <w:rPr>
          <w:rFonts w:ascii="Traditional Arabic" w:hAnsi="Traditional Arabic" w:cs="Traditional Arabic"/>
          <w:sz w:val="28"/>
          <w:szCs w:val="28"/>
        </w:rPr>
        <w:t>.</w:t>
      </w:r>
    </w:p>
  </w:footnote>
  <w:footnote w:id="55">
    <w:p w14:paraId="6A878E67" w14:textId="77777777" w:rsidR="00286DB0" w:rsidRPr="00C406BC" w:rsidRDefault="00286DB0" w:rsidP="00C406BC">
      <w:pPr>
        <w:pStyle w:val="a3"/>
        <w:spacing w:before="240" w:after="240" w:line="360" w:lineRule="auto"/>
        <w:rPr>
          <w:rFonts w:ascii="Traditional Arabic" w:hAnsi="Traditional Arabic" w:cs="Traditional Arabic"/>
          <w:sz w:val="28"/>
          <w:szCs w:val="28"/>
          <w:rtl/>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العمران. ص. ٣٦٣</w:t>
      </w:r>
      <w:r w:rsidRPr="00C406BC">
        <w:rPr>
          <w:rFonts w:ascii="Traditional Arabic" w:hAnsi="Traditional Arabic" w:cs="Traditional Arabic"/>
          <w:sz w:val="28"/>
          <w:szCs w:val="28"/>
        </w:rPr>
        <w:t>.</w:t>
      </w:r>
    </w:p>
  </w:footnote>
  <w:footnote w:id="56">
    <w:p w14:paraId="5596A92F" w14:textId="1C02A047" w:rsidR="00286DB0" w:rsidRPr="00C406BC" w:rsidRDefault="00286DB0" w:rsidP="003E14BD">
      <w:pPr>
        <w:pStyle w:val="a3"/>
        <w:spacing w:before="240" w:after="240" w:line="360" w:lineRule="auto"/>
        <w:rPr>
          <w:rFonts w:ascii="Traditional Arabic" w:hAnsi="Traditional Arabic" w:cs="Traditional Arabic"/>
          <w:sz w:val="28"/>
          <w:szCs w:val="28"/>
          <w:rtl/>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سالم، محمود. ص. ٢٥٣</w:t>
      </w:r>
      <w:r w:rsidRPr="00C406BC">
        <w:rPr>
          <w:rFonts w:ascii="Traditional Arabic" w:hAnsi="Traditional Arabic" w:cs="Traditional Arabic"/>
          <w:sz w:val="28"/>
          <w:szCs w:val="28"/>
        </w:rPr>
        <w:t>.</w:t>
      </w:r>
    </w:p>
  </w:footnote>
  <w:footnote w:id="57">
    <w:p w14:paraId="0FE55FA5" w14:textId="77777777" w:rsidR="00286DB0" w:rsidRPr="00C406BC" w:rsidRDefault="00286DB0" w:rsidP="00C406BC">
      <w:pPr>
        <w:pStyle w:val="a3"/>
        <w:spacing w:before="240" w:after="240"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 xml:space="preserve">عباس، حسني. ص. </w:t>
      </w:r>
      <w:r w:rsidRPr="00C406BC">
        <w:rPr>
          <w:rFonts w:ascii="Traditional Arabic" w:hAnsi="Traditional Arabic" w:cs="Traditional Arabic"/>
          <w:sz w:val="28"/>
          <w:szCs w:val="28"/>
          <w:rtl/>
          <w:lang w:bidi="fa-IR"/>
        </w:rPr>
        <w:t>۲۱۳.</w:t>
      </w:r>
    </w:p>
  </w:footnote>
  <w:footnote w:id="58">
    <w:p w14:paraId="6D93022C" w14:textId="77777777" w:rsidR="00286DB0" w:rsidRPr="00C406BC" w:rsidRDefault="00286DB0" w:rsidP="00C406BC">
      <w:pPr>
        <w:pStyle w:val="a3"/>
        <w:spacing w:before="240" w:after="240"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العمران. ص. ٢٤٤.</w:t>
      </w:r>
    </w:p>
  </w:footnote>
  <w:footnote w:id="59">
    <w:p w14:paraId="3BC74BE5" w14:textId="77777777" w:rsidR="00286DB0" w:rsidRPr="00C406BC" w:rsidRDefault="00286DB0" w:rsidP="00C406BC">
      <w:pPr>
        <w:pStyle w:val="a3"/>
        <w:spacing w:before="240" w:after="240"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السنهوري. شرح القانون المدني. بغداد، عام ١٩٦٢م، ص14</w:t>
      </w:r>
    </w:p>
  </w:footnote>
  <w:footnote w:id="60">
    <w:p w14:paraId="67B7580C" w14:textId="77777777" w:rsidR="00286DB0" w:rsidRPr="00C406BC" w:rsidRDefault="00286DB0" w:rsidP="00C406BC">
      <w:pPr>
        <w:pStyle w:val="a3"/>
        <w:spacing w:before="240" w:after="240"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 xml:space="preserve">المادة ٨٤ من نظام الأوراق التجارية السعودي. ص. </w:t>
      </w:r>
      <w:r w:rsidRPr="00C406BC">
        <w:rPr>
          <w:rFonts w:ascii="Traditional Arabic" w:hAnsi="Traditional Arabic" w:cs="Traditional Arabic"/>
          <w:sz w:val="28"/>
          <w:szCs w:val="28"/>
          <w:rtl/>
          <w:lang w:bidi="fa-IR"/>
        </w:rPr>
        <w:t>۳۱.</w:t>
      </w:r>
    </w:p>
  </w:footnote>
  <w:footnote w:id="61">
    <w:p w14:paraId="7FB9A59D" w14:textId="77777777" w:rsidR="00286DB0" w:rsidRPr="00C406BC" w:rsidRDefault="00286DB0" w:rsidP="00C406BC">
      <w:pPr>
        <w:pStyle w:val="a3"/>
        <w:spacing w:before="240" w:after="240"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المذكرة التفسيرية لنظام الأوراق التجارية. ص. ٦٨.</w:t>
      </w:r>
    </w:p>
  </w:footnote>
  <w:footnote w:id="62">
    <w:p w14:paraId="10136F66" w14:textId="77777777" w:rsidR="00286DB0" w:rsidRPr="00C406BC" w:rsidRDefault="00286DB0" w:rsidP="00C406BC">
      <w:pPr>
        <w:pStyle w:val="a3"/>
        <w:spacing w:before="240" w:after="240"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العمران. ص. ٢٤٦.</w:t>
      </w:r>
    </w:p>
  </w:footnote>
  <w:footnote w:id="63">
    <w:p w14:paraId="54A55D2B" w14:textId="77777777" w:rsidR="00286DB0" w:rsidRPr="00C406BC" w:rsidRDefault="00286DB0" w:rsidP="00C406BC">
      <w:pPr>
        <w:pStyle w:val="a3"/>
        <w:spacing w:before="240" w:after="240"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 xml:space="preserve">سالم، محمود. ص. </w:t>
      </w:r>
      <w:r w:rsidRPr="00C406BC">
        <w:rPr>
          <w:rFonts w:ascii="Traditional Arabic" w:hAnsi="Traditional Arabic" w:cs="Traditional Arabic"/>
          <w:sz w:val="28"/>
          <w:szCs w:val="28"/>
          <w:rtl/>
          <w:lang w:bidi="fa-IR"/>
        </w:rPr>
        <w:t>۳۰۹.</w:t>
      </w:r>
    </w:p>
  </w:footnote>
  <w:footnote w:id="64">
    <w:p w14:paraId="66F40E8A" w14:textId="77777777" w:rsidR="00286DB0" w:rsidRPr="00C406BC" w:rsidRDefault="00286DB0" w:rsidP="00C406BC">
      <w:pPr>
        <w:pStyle w:val="a3"/>
        <w:spacing w:before="240" w:after="240"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 xml:space="preserve">عبد الجواد، محمد. ص. </w:t>
      </w:r>
      <w:r w:rsidRPr="00C406BC">
        <w:rPr>
          <w:rFonts w:ascii="Traditional Arabic" w:hAnsi="Traditional Arabic" w:cs="Traditional Arabic"/>
          <w:sz w:val="28"/>
          <w:szCs w:val="28"/>
          <w:rtl/>
          <w:lang w:bidi="fa-IR"/>
        </w:rPr>
        <w:t>۳۸</w:t>
      </w:r>
      <w:r w:rsidRPr="00C406BC">
        <w:rPr>
          <w:rFonts w:ascii="Traditional Arabic" w:hAnsi="Traditional Arabic" w:cs="Traditional Arabic"/>
          <w:sz w:val="28"/>
          <w:szCs w:val="28"/>
          <w:rtl/>
        </w:rPr>
        <w:t>٣.</w:t>
      </w:r>
    </w:p>
  </w:footnote>
  <w:footnote w:id="65">
    <w:p w14:paraId="3BDEAEC2" w14:textId="77777777" w:rsidR="00286DB0" w:rsidRPr="00C406BC" w:rsidRDefault="00286DB0" w:rsidP="00C406BC">
      <w:pPr>
        <w:pStyle w:val="a3"/>
        <w:spacing w:before="240" w:after="240"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صالح، محمد. الأوراق التجارية. ص. ٢٨٢.</w:t>
      </w:r>
    </w:p>
  </w:footnote>
  <w:footnote w:id="66">
    <w:p w14:paraId="68E30E28" w14:textId="77777777" w:rsidR="00286DB0" w:rsidRPr="00C406BC" w:rsidRDefault="00286DB0" w:rsidP="00C406BC">
      <w:pPr>
        <w:pStyle w:val="a3"/>
        <w:spacing w:before="240" w:after="240"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يونس، علي. الأوراق التجارية. بند رقم ٤٣٩، لعام ١٩٦١م.</w:t>
      </w:r>
    </w:p>
  </w:footnote>
  <w:footnote w:id="67">
    <w:p w14:paraId="69A311E2" w14:textId="77777777" w:rsidR="00286DB0" w:rsidRPr="00C406BC" w:rsidRDefault="00286DB0" w:rsidP="00C406BC">
      <w:pPr>
        <w:pStyle w:val="a3"/>
        <w:spacing w:before="240" w:after="240" w:line="360" w:lineRule="auto"/>
        <w:rPr>
          <w:rFonts w:ascii="Traditional Arabic" w:hAnsi="Traditional Arabic" w:cs="Traditional Arabic"/>
          <w:sz w:val="28"/>
          <w:szCs w:val="28"/>
          <w:rtl/>
          <w:lang w:bidi="ar-EG"/>
        </w:rPr>
      </w:pPr>
      <w:r w:rsidRPr="00C406BC">
        <w:rPr>
          <w:rStyle w:val="a4"/>
          <w:rFonts w:ascii="Traditional Arabic" w:hAnsi="Traditional Arabic" w:cs="Traditional Arabic"/>
          <w:sz w:val="28"/>
          <w:szCs w:val="28"/>
        </w:rPr>
        <w:footnoteRef/>
      </w:r>
      <w:r w:rsidRPr="00C406BC">
        <w:rPr>
          <w:rFonts w:ascii="Traditional Arabic" w:hAnsi="Traditional Arabic" w:cs="Traditional Arabic"/>
          <w:sz w:val="28"/>
          <w:szCs w:val="28"/>
        </w:rPr>
        <w:t xml:space="preserve"> </w:t>
      </w:r>
      <w:r w:rsidRPr="00C406BC">
        <w:rPr>
          <w:rFonts w:ascii="Traditional Arabic" w:hAnsi="Traditional Arabic" w:cs="Traditional Arabic"/>
          <w:sz w:val="28"/>
          <w:szCs w:val="28"/>
          <w:rtl/>
        </w:rPr>
        <w:t>الخولي، أكثم أمين. الأوراق التجارية. ص. ٢٣.</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E032A"/>
    <w:multiLevelType w:val="multilevel"/>
    <w:tmpl w:val="35CAEA24"/>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2B408F"/>
    <w:multiLevelType w:val="hybridMultilevel"/>
    <w:tmpl w:val="F320BF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B64917"/>
    <w:multiLevelType w:val="multilevel"/>
    <w:tmpl w:val="35CAEA24"/>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450"/>
        </w:tabs>
        <w:ind w:left="45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7D1DA8"/>
    <w:multiLevelType w:val="hybridMultilevel"/>
    <w:tmpl w:val="7682BCBE"/>
    <w:lvl w:ilvl="0" w:tplc="7AB25D9A">
      <w:start w:val="1"/>
      <w:numFmt w:val="bullet"/>
      <w:lvlText w:val=""/>
      <w:lvlJc w:val="left"/>
      <w:pPr>
        <w:ind w:left="360" w:hanging="360"/>
      </w:pPr>
      <w:rPr>
        <w:rFonts w:ascii="Symbol" w:hAnsi="Symbol" w:hint="default"/>
        <w:lang w:bidi="ar-SA"/>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64027AE"/>
    <w:multiLevelType w:val="hybridMultilevel"/>
    <w:tmpl w:val="B0ECF46C"/>
    <w:lvl w:ilvl="0" w:tplc="7D4646CE">
      <w:start w:val="1"/>
      <w:numFmt w:val="arabicAlpha"/>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6D32BE1"/>
    <w:multiLevelType w:val="multilevel"/>
    <w:tmpl w:val="1938E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2200BB"/>
    <w:multiLevelType w:val="multilevel"/>
    <w:tmpl w:val="7CFAE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236100"/>
    <w:multiLevelType w:val="multilevel"/>
    <w:tmpl w:val="267CD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7B2600"/>
    <w:multiLevelType w:val="hybridMultilevel"/>
    <w:tmpl w:val="ECA04E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7C5590"/>
    <w:multiLevelType w:val="multilevel"/>
    <w:tmpl w:val="35CAEA24"/>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46C5A72"/>
    <w:multiLevelType w:val="multilevel"/>
    <w:tmpl w:val="2C449586"/>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03022E"/>
    <w:multiLevelType w:val="multilevel"/>
    <w:tmpl w:val="B6D48222"/>
    <w:lvl w:ilvl="0">
      <w:start w:val="1"/>
      <w:numFmt w:val="decimal"/>
      <w:lvlText w:val="%1."/>
      <w:lvlJc w:val="left"/>
      <w:pPr>
        <w:tabs>
          <w:tab w:val="num" w:pos="360"/>
        </w:tabs>
        <w:ind w:left="36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89786D"/>
    <w:multiLevelType w:val="hybridMultilevel"/>
    <w:tmpl w:val="E3BADFEC"/>
    <w:lvl w:ilvl="0" w:tplc="03D666E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DB2289"/>
    <w:multiLevelType w:val="multilevel"/>
    <w:tmpl w:val="26FC1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D6512C"/>
    <w:multiLevelType w:val="multilevel"/>
    <w:tmpl w:val="A2A28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DA0A2C"/>
    <w:multiLevelType w:val="hybridMultilevel"/>
    <w:tmpl w:val="E10C1D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78330C"/>
    <w:multiLevelType w:val="multilevel"/>
    <w:tmpl w:val="85AC9704"/>
    <w:lvl w:ilvl="0">
      <w:start w:val="1"/>
      <w:numFmt w:val="bullet"/>
      <w:lvlText w:val=""/>
      <w:lvlJc w:val="left"/>
      <w:pPr>
        <w:tabs>
          <w:tab w:val="num" w:pos="360"/>
        </w:tabs>
        <w:ind w:left="360" w:hanging="360"/>
      </w:pPr>
      <w:rPr>
        <w:rFonts w:ascii="Wingdings" w:hAnsi="Wingdings"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57F9385E"/>
    <w:multiLevelType w:val="multilevel"/>
    <w:tmpl w:val="3D845C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B26A8A"/>
    <w:multiLevelType w:val="multilevel"/>
    <w:tmpl w:val="068C8DF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628859E0"/>
    <w:multiLevelType w:val="multilevel"/>
    <w:tmpl w:val="7B54E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E30C79"/>
    <w:multiLevelType w:val="multilevel"/>
    <w:tmpl w:val="85AC9704"/>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FBA131B"/>
    <w:multiLevelType w:val="hybridMultilevel"/>
    <w:tmpl w:val="9376AF54"/>
    <w:lvl w:ilvl="0" w:tplc="B5C496DA">
      <w:start w:val="1"/>
      <w:numFmt w:val="bullet"/>
      <w:lvlText w:val=""/>
      <w:lvlJc w:val="left"/>
      <w:pPr>
        <w:ind w:left="1080" w:hanging="360"/>
      </w:pPr>
      <w:rPr>
        <w:rFonts w:ascii="Wingdings" w:hAnsi="Wingdings" w:hint="default"/>
        <w:lang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65E44FB"/>
    <w:multiLevelType w:val="multilevel"/>
    <w:tmpl w:val="378C6CD2"/>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8496897"/>
    <w:multiLevelType w:val="hybridMultilevel"/>
    <w:tmpl w:val="4B56A3B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D8C4945"/>
    <w:multiLevelType w:val="multilevel"/>
    <w:tmpl w:val="4B149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F1948A2"/>
    <w:multiLevelType w:val="hybridMultilevel"/>
    <w:tmpl w:val="4C48DA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0816911">
    <w:abstractNumId w:val="9"/>
  </w:num>
  <w:num w:numId="2" w16cid:durableId="218249500">
    <w:abstractNumId w:val="17"/>
  </w:num>
  <w:num w:numId="3" w16cid:durableId="1685865521">
    <w:abstractNumId w:val="11"/>
  </w:num>
  <w:num w:numId="4" w16cid:durableId="1121001480">
    <w:abstractNumId w:val="13"/>
  </w:num>
  <w:num w:numId="5" w16cid:durableId="1541429938">
    <w:abstractNumId w:val="14"/>
  </w:num>
  <w:num w:numId="6" w16cid:durableId="31736636">
    <w:abstractNumId w:val="5"/>
  </w:num>
  <w:num w:numId="7" w16cid:durableId="992486524">
    <w:abstractNumId w:val="24"/>
  </w:num>
  <w:num w:numId="8" w16cid:durableId="99033725">
    <w:abstractNumId w:val="6"/>
  </w:num>
  <w:num w:numId="9" w16cid:durableId="149371161">
    <w:abstractNumId w:val="7"/>
  </w:num>
  <w:num w:numId="10" w16cid:durableId="1460412434">
    <w:abstractNumId w:val="3"/>
  </w:num>
  <w:num w:numId="11" w16cid:durableId="301816818">
    <w:abstractNumId w:val="19"/>
  </w:num>
  <w:num w:numId="12" w16cid:durableId="2011524022">
    <w:abstractNumId w:val="23"/>
  </w:num>
  <w:num w:numId="13" w16cid:durableId="148138004">
    <w:abstractNumId w:val="18"/>
  </w:num>
  <w:num w:numId="14" w16cid:durableId="1886139223">
    <w:abstractNumId w:val="20"/>
  </w:num>
  <w:num w:numId="15" w16cid:durableId="351998670">
    <w:abstractNumId w:val="16"/>
  </w:num>
  <w:num w:numId="16" w16cid:durableId="1828865958">
    <w:abstractNumId w:val="8"/>
  </w:num>
  <w:num w:numId="17" w16cid:durableId="381371678">
    <w:abstractNumId w:val="25"/>
  </w:num>
  <w:num w:numId="18" w16cid:durableId="1766462007">
    <w:abstractNumId w:val="21"/>
  </w:num>
  <w:num w:numId="19" w16cid:durableId="311447826">
    <w:abstractNumId w:val="10"/>
  </w:num>
  <w:num w:numId="20" w16cid:durableId="395707073">
    <w:abstractNumId w:val="15"/>
  </w:num>
  <w:num w:numId="21" w16cid:durableId="13003919">
    <w:abstractNumId w:val="22"/>
  </w:num>
  <w:num w:numId="22" w16cid:durableId="1058699999">
    <w:abstractNumId w:val="0"/>
  </w:num>
  <w:num w:numId="23" w16cid:durableId="2042827203">
    <w:abstractNumId w:val="2"/>
  </w:num>
  <w:num w:numId="24" w16cid:durableId="15549697">
    <w:abstractNumId w:val="12"/>
  </w:num>
  <w:num w:numId="25" w16cid:durableId="830294695">
    <w:abstractNumId w:val="4"/>
  </w:num>
  <w:num w:numId="26" w16cid:durableId="1488664572">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BAE"/>
    <w:rsid w:val="00006176"/>
    <w:rsid w:val="00021288"/>
    <w:rsid w:val="00021A61"/>
    <w:rsid w:val="00026EB2"/>
    <w:rsid w:val="00050396"/>
    <w:rsid w:val="00050626"/>
    <w:rsid w:val="00051C60"/>
    <w:rsid w:val="000534D9"/>
    <w:rsid w:val="00055D93"/>
    <w:rsid w:val="00072659"/>
    <w:rsid w:val="00074622"/>
    <w:rsid w:val="0008446F"/>
    <w:rsid w:val="00096C47"/>
    <w:rsid w:val="000C533B"/>
    <w:rsid w:val="000D290D"/>
    <w:rsid w:val="000F001F"/>
    <w:rsid w:val="000F68BD"/>
    <w:rsid w:val="000F6B58"/>
    <w:rsid w:val="000F73B1"/>
    <w:rsid w:val="0010008E"/>
    <w:rsid w:val="00101E92"/>
    <w:rsid w:val="001306FC"/>
    <w:rsid w:val="001549B9"/>
    <w:rsid w:val="0016646D"/>
    <w:rsid w:val="00175F43"/>
    <w:rsid w:val="00182962"/>
    <w:rsid w:val="00187AB3"/>
    <w:rsid w:val="001C42E2"/>
    <w:rsid w:val="001C522B"/>
    <w:rsid w:val="001F04CE"/>
    <w:rsid w:val="001F2528"/>
    <w:rsid w:val="001F7244"/>
    <w:rsid w:val="001F7BAE"/>
    <w:rsid w:val="00200434"/>
    <w:rsid w:val="00201A9F"/>
    <w:rsid w:val="00201EC7"/>
    <w:rsid w:val="00210FD2"/>
    <w:rsid w:val="00222BE8"/>
    <w:rsid w:val="00255E07"/>
    <w:rsid w:val="0026115A"/>
    <w:rsid w:val="002628A7"/>
    <w:rsid w:val="00272C06"/>
    <w:rsid w:val="002746CB"/>
    <w:rsid w:val="00274B52"/>
    <w:rsid w:val="00286DB0"/>
    <w:rsid w:val="00295BA6"/>
    <w:rsid w:val="00295E28"/>
    <w:rsid w:val="002B4A3A"/>
    <w:rsid w:val="002C376E"/>
    <w:rsid w:val="002D1B2E"/>
    <w:rsid w:val="002D3118"/>
    <w:rsid w:val="002D48B5"/>
    <w:rsid w:val="002E07B5"/>
    <w:rsid w:val="003074AF"/>
    <w:rsid w:val="00326B08"/>
    <w:rsid w:val="00386D7B"/>
    <w:rsid w:val="00393B72"/>
    <w:rsid w:val="003A1F4B"/>
    <w:rsid w:val="003B2E72"/>
    <w:rsid w:val="003C13BB"/>
    <w:rsid w:val="003C1BBA"/>
    <w:rsid w:val="003E14BD"/>
    <w:rsid w:val="003E6A10"/>
    <w:rsid w:val="003F0A5B"/>
    <w:rsid w:val="003F0DDB"/>
    <w:rsid w:val="003F6018"/>
    <w:rsid w:val="00407A6D"/>
    <w:rsid w:val="0042114E"/>
    <w:rsid w:val="004224CB"/>
    <w:rsid w:val="00422B8B"/>
    <w:rsid w:val="00441F6F"/>
    <w:rsid w:val="0045045B"/>
    <w:rsid w:val="00451240"/>
    <w:rsid w:val="00451778"/>
    <w:rsid w:val="00457F4E"/>
    <w:rsid w:val="00460AD9"/>
    <w:rsid w:val="004750F2"/>
    <w:rsid w:val="00477C80"/>
    <w:rsid w:val="00481B2F"/>
    <w:rsid w:val="0048427E"/>
    <w:rsid w:val="0048667B"/>
    <w:rsid w:val="00491B7F"/>
    <w:rsid w:val="00492D4D"/>
    <w:rsid w:val="004B2448"/>
    <w:rsid w:val="004D2CA0"/>
    <w:rsid w:val="004D367E"/>
    <w:rsid w:val="004D3806"/>
    <w:rsid w:val="004E3E5F"/>
    <w:rsid w:val="004E4E70"/>
    <w:rsid w:val="0052088B"/>
    <w:rsid w:val="0052256E"/>
    <w:rsid w:val="0052573A"/>
    <w:rsid w:val="005261EC"/>
    <w:rsid w:val="00533C11"/>
    <w:rsid w:val="005471ED"/>
    <w:rsid w:val="00554797"/>
    <w:rsid w:val="005573CB"/>
    <w:rsid w:val="005602B6"/>
    <w:rsid w:val="00566BE8"/>
    <w:rsid w:val="005853A6"/>
    <w:rsid w:val="00594177"/>
    <w:rsid w:val="00594ACB"/>
    <w:rsid w:val="005A612C"/>
    <w:rsid w:val="005A7875"/>
    <w:rsid w:val="005B5898"/>
    <w:rsid w:val="005B7E38"/>
    <w:rsid w:val="005C04D9"/>
    <w:rsid w:val="005C2702"/>
    <w:rsid w:val="005C443B"/>
    <w:rsid w:val="005D3653"/>
    <w:rsid w:val="005E73FB"/>
    <w:rsid w:val="005F18A7"/>
    <w:rsid w:val="00605ACC"/>
    <w:rsid w:val="006061FE"/>
    <w:rsid w:val="00610259"/>
    <w:rsid w:val="00614F01"/>
    <w:rsid w:val="0064286D"/>
    <w:rsid w:val="00644EB8"/>
    <w:rsid w:val="00651807"/>
    <w:rsid w:val="00664248"/>
    <w:rsid w:val="006642AB"/>
    <w:rsid w:val="00674119"/>
    <w:rsid w:val="0068398F"/>
    <w:rsid w:val="006846BE"/>
    <w:rsid w:val="00685C6B"/>
    <w:rsid w:val="00695A8D"/>
    <w:rsid w:val="006A2427"/>
    <w:rsid w:val="006A57E4"/>
    <w:rsid w:val="006B1A5C"/>
    <w:rsid w:val="006B488B"/>
    <w:rsid w:val="0071628E"/>
    <w:rsid w:val="00716BC0"/>
    <w:rsid w:val="007312C5"/>
    <w:rsid w:val="00773552"/>
    <w:rsid w:val="0078056C"/>
    <w:rsid w:val="00783ED2"/>
    <w:rsid w:val="0079231A"/>
    <w:rsid w:val="00792F3A"/>
    <w:rsid w:val="0079715B"/>
    <w:rsid w:val="007976B9"/>
    <w:rsid w:val="007B0277"/>
    <w:rsid w:val="007B39E2"/>
    <w:rsid w:val="007B57D8"/>
    <w:rsid w:val="007C2845"/>
    <w:rsid w:val="007D0B5C"/>
    <w:rsid w:val="007D1DB5"/>
    <w:rsid w:val="007E5A20"/>
    <w:rsid w:val="007F2B8D"/>
    <w:rsid w:val="007F662D"/>
    <w:rsid w:val="00801ADA"/>
    <w:rsid w:val="0080685B"/>
    <w:rsid w:val="0082587B"/>
    <w:rsid w:val="0084625F"/>
    <w:rsid w:val="00863D1A"/>
    <w:rsid w:val="00870730"/>
    <w:rsid w:val="00873135"/>
    <w:rsid w:val="008A2627"/>
    <w:rsid w:val="008A6AE5"/>
    <w:rsid w:val="008A7598"/>
    <w:rsid w:val="008B089E"/>
    <w:rsid w:val="008D42C4"/>
    <w:rsid w:val="008E60CB"/>
    <w:rsid w:val="008E66ED"/>
    <w:rsid w:val="008F5906"/>
    <w:rsid w:val="008F6724"/>
    <w:rsid w:val="00911DF3"/>
    <w:rsid w:val="009317C7"/>
    <w:rsid w:val="00934824"/>
    <w:rsid w:val="009476A2"/>
    <w:rsid w:val="00950D2F"/>
    <w:rsid w:val="00954321"/>
    <w:rsid w:val="00985782"/>
    <w:rsid w:val="009D7EA9"/>
    <w:rsid w:val="009E3A5D"/>
    <w:rsid w:val="009F344F"/>
    <w:rsid w:val="00A1288B"/>
    <w:rsid w:val="00A169D2"/>
    <w:rsid w:val="00A27046"/>
    <w:rsid w:val="00A312F8"/>
    <w:rsid w:val="00A332AA"/>
    <w:rsid w:val="00A42F7D"/>
    <w:rsid w:val="00A43E6C"/>
    <w:rsid w:val="00A534D7"/>
    <w:rsid w:val="00A62F54"/>
    <w:rsid w:val="00A7023D"/>
    <w:rsid w:val="00A71096"/>
    <w:rsid w:val="00A85F14"/>
    <w:rsid w:val="00A90DB2"/>
    <w:rsid w:val="00AB57CF"/>
    <w:rsid w:val="00AC799E"/>
    <w:rsid w:val="00AE6113"/>
    <w:rsid w:val="00AE7B80"/>
    <w:rsid w:val="00B109C7"/>
    <w:rsid w:val="00B27587"/>
    <w:rsid w:val="00B30FA2"/>
    <w:rsid w:val="00B44ED4"/>
    <w:rsid w:val="00B53384"/>
    <w:rsid w:val="00B55D2C"/>
    <w:rsid w:val="00B709D5"/>
    <w:rsid w:val="00B903A3"/>
    <w:rsid w:val="00B947D6"/>
    <w:rsid w:val="00B95848"/>
    <w:rsid w:val="00BA4DF8"/>
    <w:rsid w:val="00BB5452"/>
    <w:rsid w:val="00BB5A71"/>
    <w:rsid w:val="00BC4A79"/>
    <w:rsid w:val="00BC5CB5"/>
    <w:rsid w:val="00BF0488"/>
    <w:rsid w:val="00BF7E90"/>
    <w:rsid w:val="00C04770"/>
    <w:rsid w:val="00C228A3"/>
    <w:rsid w:val="00C2431A"/>
    <w:rsid w:val="00C406BC"/>
    <w:rsid w:val="00C5366D"/>
    <w:rsid w:val="00C61624"/>
    <w:rsid w:val="00C66889"/>
    <w:rsid w:val="00C66E9A"/>
    <w:rsid w:val="00C7398A"/>
    <w:rsid w:val="00C81057"/>
    <w:rsid w:val="00C92CFD"/>
    <w:rsid w:val="00C9516B"/>
    <w:rsid w:val="00CB2767"/>
    <w:rsid w:val="00CD1AFC"/>
    <w:rsid w:val="00CD6FF4"/>
    <w:rsid w:val="00CF35C4"/>
    <w:rsid w:val="00D05AC5"/>
    <w:rsid w:val="00D170AF"/>
    <w:rsid w:val="00D50CA8"/>
    <w:rsid w:val="00D51BC7"/>
    <w:rsid w:val="00D53584"/>
    <w:rsid w:val="00D77C63"/>
    <w:rsid w:val="00D8082C"/>
    <w:rsid w:val="00D8615E"/>
    <w:rsid w:val="00DB3B7F"/>
    <w:rsid w:val="00DB4A8C"/>
    <w:rsid w:val="00DC73BA"/>
    <w:rsid w:val="00DD05A1"/>
    <w:rsid w:val="00DD1F89"/>
    <w:rsid w:val="00DE1858"/>
    <w:rsid w:val="00DF629C"/>
    <w:rsid w:val="00E062DC"/>
    <w:rsid w:val="00E12B76"/>
    <w:rsid w:val="00E27570"/>
    <w:rsid w:val="00E54BFD"/>
    <w:rsid w:val="00E5645F"/>
    <w:rsid w:val="00E56F28"/>
    <w:rsid w:val="00E6021F"/>
    <w:rsid w:val="00E678E6"/>
    <w:rsid w:val="00E70979"/>
    <w:rsid w:val="00E72786"/>
    <w:rsid w:val="00E73BE6"/>
    <w:rsid w:val="00EA712F"/>
    <w:rsid w:val="00ED0CB4"/>
    <w:rsid w:val="00EF5EAA"/>
    <w:rsid w:val="00F02E71"/>
    <w:rsid w:val="00F11EA8"/>
    <w:rsid w:val="00F130BB"/>
    <w:rsid w:val="00F13FD1"/>
    <w:rsid w:val="00F224A8"/>
    <w:rsid w:val="00F341BF"/>
    <w:rsid w:val="00F3799A"/>
    <w:rsid w:val="00F53606"/>
    <w:rsid w:val="00F5739C"/>
    <w:rsid w:val="00F6535A"/>
    <w:rsid w:val="00F73C7B"/>
    <w:rsid w:val="00FB3411"/>
    <w:rsid w:val="00FC083B"/>
    <w:rsid w:val="00FC6C58"/>
    <w:rsid w:val="00FD321F"/>
    <w:rsid w:val="00FD6139"/>
    <w:rsid w:val="00FE52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6C9DE"/>
  <w15:chartTrackingRefBased/>
  <w15:docId w15:val="{6E37D951-8FF4-4C42-83C8-89397A006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7BAE"/>
    <w:pPr>
      <w:bidi/>
    </w:pPr>
    <w:rPr>
      <w:kern w:val="2"/>
      <w14:ligatures w14:val="standardContextual"/>
    </w:rPr>
  </w:style>
  <w:style w:type="paragraph" w:styleId="1">
    <w:name w:val="heading 1"/>
    <w:basedOn w:val="a"/>
    <w:next w:val="a"/>
    <w:link w:val="1Char"/>
    <w:uiPriority w:val="9"/>
    <w:qFormat/>
    <w:rsid w:val="001F7BAE"/>
    <w:pPr>
      <w:keepNext/>
      <w:keepLines/>
      <w:spacing w:before="240" w:after="0"/>
      <w:outlineLvl w:val="0"/>
    </w:pPr>
    <w:rPr>
      <w:rFonts w:asciiTheme="majorHAnsi" w:eastAsiaTheme="majorEastAsia" w:hAnsiTheme="majorHAnsi" w:cstheme="majorBidi"/>
      <w:color w:val="2F5496" w:themeColor="accent1" w:themeShade="BF"/>
      <w:kern w:val="0"/>
      <w:sz w:val="32"/>
      <w:szCs w:val="32"/>
      <w:rtl/>
      <w14:ligatures w14:val="none"/>
    </w:rPr>
  </w:style>
  <w:style w:type="paragraph" w:styleId="2">
    <w:name w:val="heading 2"/>
    <w:basedOn w:val="a"/>
    <w:next w:val="a"/>
    <w:link w:val="2Char"/>
    <w:uiPriority w:val="9"/>
    <w:unhideWhenUsed/>
    <w:qFormat/>
    <w:rsid w:val="00EF5E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Char"/>
    <w:uiPriority w:val="9"/>
    <w:semiHidden/>
    <w:unhideWhenUsed/>
    <w:qFormat/>
    <w:rsid w:val="00B55D2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1F7BAE"/>
    <w:rPr>
      <w:rFonts w:asciiTheme="majorHAnsi" w:eastAsiaTheme="majorEastAsia" w:hAnsiTheme="majorHAnsi" w:cstheme="majorBidi"/>
      <w:color w:val="2F5496" w:themeColor="accent1" w:themeShade="BF"/>
      <w:sz w:val="32"/>
      <w:szCs w:val="32"/>
    </w:rPr>
  </w:style>
  <w:style w:type="character" w:styleId="Hyperlink">
    <w:name w:val="Hyperlink"/>
    <w:basedOn w:val="a0"/>
    <w:uiPriority w:val="99"/>
    <w:unhideWhenUsed/>
    <w:rsid w:val="000C533B"/>
    <w:rPr>
      <w:color w:val="0563C1" w:themeColor="hyperlink"/>
      <w:u w:val="single"/>
    </w:rPr>
  </w:style>
  <w:style w:type="paragraph" w:styleId="a3">
    <w:name w:val="footnote text"/>
    <w:basedOn w:val="a"/>
    <w:link w:val="Char"/>
    <w:uiPriority w:val="99"/>
    <w:semiHidden/>
    <w:unhideWhenUsed/>
    <w:rsid w:val="000C533B"/>
    <w:pPr>
      <w:spacing w:after="0" w:line="240" w:lineRule="auto"/>
    </w:pPr>
    <w:rPr>
      <w:sz w:val="20"/>
      <w:szCs w:val="20"/>
    </w:rPr>
  </w:style>
  <w:style w:type="character" w:customStyle="1" w:styleId="Char">
    <w:name w:val="نص حاشية سفلية Char"/>
    <w:basedOn w:val="a0"/>
    <w:link w:val="a3"/>
    <w:uiPriority w:val="99"/>
    <w:semiHidden/>
    <w:rsid w:val="000C533B"/>
    <w:rPr>
      <w:kern w:val="2"/>
      <w:sz w:val="20"/>
      <w:szCs w:val="20"/>
      <w14:ligatures w14:val="standardContextual"/>
    </w:rPr>
  </w:style>
  <w:style w:type="character" w:styleId="a4">
    <w:name w:val="footnote reference"/>
    <w:basedOn w:val="a0"/>
    <w:uiPriority w:val="99"/>
    <w:semiHidden/>
    <w:unhideWhenUsed/>
    <w:rsid w:val="000C533B"/>
    <w:rPr>
      <w:vertAlign w:val="superscript"/>
    </w:rPr>
  </w:style>
  <w:style w:type="character" w:customStyle="1" w:styleId="3Char">
    <w:name w:val="عنوان 3 Char"/>
    <w:basedOn w:val="a0"/>
    <w:link w:val="3"/>
    <w:uiPriority w:val="9"/>
    <w:semiHidden/>
    <w:rsid w:val="00B55D2C"/>
    <w:rPr>
      <w:rFonts w:asciiTheme="majorHAnsi" w:eastAsiaTheme="majorEastAsia" w:hAnsiTheme="majorHAnsi" w:cstheme="majorBidi"/>
      <w:color w:val="1F3763" w:themeColor="accent1" w:themeShade="7F"/>
      <w:kern w:val="2"/>
      <w:sz w:val="24"/>
      <w:szCs w:val="24"/>
      <w14:ligatures w14:val="standardContextual"/>
    </w:rPr>
  </w:style>
  <w:style w:type="paragraph" w:styleId="a5">
    <w:name w:val="List Paragraph"/>
    <w:basedOn w:val="a"/>
    <w:uiPriority w:val="34"/>
    <w:qFormat/>
    <w:rsid w:val="006846BE"/>
    <w:pPr>
      <w:ind w:left="720"/>
      <w:contextualSpacing/>
    </w:pPr>
  </w:style>
  <w:style w:type="paragraph" w:styleId="a6">
    <w:name w:val="header"/>
    <w:basedOn w:val="a"/>
    <w:link w:val="Char0"/>
    <w:uiPriority w:val="99"/>
    <w:unhideWhenUsed/>
    <w:rsid w:val="00101E92"/>
    <w:pPr>
      <w:tabs>
        <w:tab w:val="center" w:pos="4680"/>
        <w:tab w:val="right" w:pos="9360"/>
      </w:tabs>
      <w:spacing w:after="0" w:line="240" w:lineRule="auto"/>
    </w:pPr>
  </w:style>
  <w:style w:type="character" w:customStyle="1" w:styleId="Char0">
    <w:name w:val="رأس الصفحة Char"/>
    <w:basedOn w:val="a0"/>
    <w:link w:val="a6"/>
    <w:uiPriority w:val="99"/>
    <w:rsid w:val="00101E92"/>
    <w:rPr>
      <w:kern w:val="2"/>
      <w14:ligatures w14:val="standardContextual"/>
    </w:rPr>
  </w:style>
  <w:style w:type="paragraph" w:styleId="a7">
    <w:name w:val="footer"/>
    <w:basedOn w:val="a"/>
    <w:link w:val="Char1"/>
    <w:uiPriority w:val="99"/>
    <w:unhideWhenUsed/>
    <w:rsid w:val="00101E92"/>
    <w:pPr>
      <w:tabs>
        <w:tab w:val="center" w:pos="4680"/>
        <w:tab w:val="right" w:pos="9360"/>
      </w:tabs>
      <w:spacing w:after="0" w:line="240" w:lineRule="auto"/>
    </w:pPr>
  </w:style>
  <w:style w:type="character" w:customStyle="1" w:styleId="Char1">
    <w:name w:val="تذييل الصفحة Char"/>
    <w:basedOn w:val="a0"/>
    <w:link w:val="a7"/>
    <w:uiPriority w:val="99"/>
    <w:rsid w:val="00101E92"/>
    <w:rPr>
      <w:kern w:val="2"/>
      <w14:ligatures w14:val="standardContextual"/>
    </w:rPr>
  </w:style>
  <w:style w:type="paragraph" w:styleId="a8">
    <w:name w:val="TOC Heading"/>
    <w:basedOn w:val="1"/>
    <w:next w:val="a"/>
    <w:uiPriority w:val="39"/>
    <w:unhideWhenUsed/>
    <w:qFormat/>
    <w:rsid w:val="00101E92"/>
    <w:pPr>
      <w:bidi w:val="0"/>
      <w:outlineLvl w:val="9"/>
    </w:pPr>
    <w:rPr>
      <w:rtl w:val="0"/>
    </w:rPr>
  </w:style>
  <w:style w:type="paragraph" w:styleId="10">
    <w:name w:val="toc 1"/>
    <w:basedOn w:val="a"/>
    <w:next w:val="a"/>
    <w:autoRedefine/>
    <w:uiPriority w:val="39"/>
    <w:unhideWhenUsed/>
    <w:rsid w:val="00101E92"/>
    <w:pPr>
      <w:spacing w:after="100"/>
    </w:pPr>
  </w:style>
  <w:style w:type="character" w:customStyle="1" w:styleId="2Char">
    <w:name w:val="عنوان 2 Char"/>
    <w:basedOn w:val="a0"/>
    <w:link w:val="2"/>
    <w:uiPriority w:val="9"/>
    <w:rsid w:val="00EF5EAA"/>
    <w:rPr>
      <w:rFonts w:asciiTheme="majorHAnsi" w:eastAsiaTheme="majorEastAsia" w:hAnsiTheme="majorHAnsi" w:cstheme="majorBidi"/>
      <w:color w:val="2F5496" w:themeColor="accent1" w:themeShade="BF"/>
      <w:kern w:val="2"/>
      <w:sz w:val="26"/>
      <w:szCs w:val="26"/>
      <w14:ligatures w14:val="standardContextual"/>
    </w:rPr>
  </w:style>
  <w:style w:type="paragraph" w:styleId="20">
    <w:name w:val="toc 2"/>
    <w:basedOn w:val="a"/>
    <w:next w:val="a"/>
    <w:autoRedefine/>
    <w:uiPriority w:val="39"/>
    <w:unhideWhenUsed/>
    <w:rsid w:val="00210FD2"/>
    <w:pPr>
      <w:spacing w:after="100"/>
      <w:ind w:left="220"/>
    </w:pPr>
  </w:style>
  <w:style w:type="paragraph" w:styleId="a9">
    <w:name w:val="No Spacing"/>
    <w:uiPriority w:val="1"/>
    <w:qFormat/>
    <w:rsid w:val="005261EC"/>
    <w:pPr>
      <w:bidi/>
      <w:spacing w:after="0" w:line="240" w:lineRule="auto"/>
    </w:pPr>
    <w:rPr>
      <w:kern w:val="2"/>
      <w14:ligatures w14:val="standardContextual"/>
    </w:rPr>
  </w:style>
  <w:style w:type="paragraph" w:styleId="aa">
    <w:name w:val="Balloon Text"/>
    <w:basedOn w:val="a"/>
    <w:link w:val="Char2"/>
    <w:uiPriority w:val="99"/>
    <w:semiHidden/>
    <w:unhideWhenUsed/>
    <w:rsid w:val="009E3A5D"/>
    <w:pPr>
      <w:spacing w:after="0" w:line="240" w:lineRule="auto"/>
    </w:pPr>
    <w:rPr>
      <w:rFonts w:ascii="Tahoma" w:hAnsi="Tahoma" w:cs="Tahoma"/>
      <w:sz w:val="18"/>
      <w:szCs w:val="18"/>
    </w:rPr>
  </w:style>
  <w:style w:type="character" w:customStyle="1" w:styleId="Char2">
    <w:name w:val="نص في بالون Char"/>
    <w:basedOn w:val="a0"/>
    <w:link w:val="aa"/>
    <w:uiPriority w:val="99"/>
    <w:semiHidden/>
    <w:rsid w:val="009E3A5D"/>
    <w:rPr>
      <w:rFonts w:ascii="Tahoma" w:hAnsi="Tahoma" w:cs="Tahoma"/>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71163">
      <w:bodyDiv w:val="1"/>
      <w:marLeft w:val="0"/>
      <w:marRight w:val="0"/>
      <w:marTop w:val="0"/>
      <w:marBottom w:val="0"/>
      <w:divBdr>
        <w:top w:val="none" w:sz="0" w:space="0" w:color="auto"/>
        <w:left w:val="none" w:sz="0" w:space="0" w:color="auto"/>
        <w:bottom w:val="none" w:sz="0" w:space="0" w:color="auto"/>
        <w:right w:val="none" w:sz="0" w:space="0" w:color="auto"/>
      </w:divBdr>
    </w:div>
    <w:div w:id="7946403">
      <w:bodyDiv w:val="1"/>
      <w:marLeft w:val="0"/>
      <w:marRight w:val="0"/>
      <w:marTop w:val="0"/>
      <w:marBottom w:val="0"/>
      <w:divBdr>
        <w:top w:val="none" w:sz="0" w:space="0" w:color="auto"/>
        <w:left w:val="none" w:sz="0" w:space="0" w:color="auto"/>
        <w:bottom w:val="none" w:sz="0" w:space="0" w:color="auto"/>
        <w:right w:val="none" w:sz="0" w:space="0" w:color="auto"/>
      </w:divBdr>
    </w:div>
    <w:div w:id="31079654">
      <w:bodyDiv w:val="1"/>
      <w:marLeft w:val="0"/>
      <w:marRight w:val="0"/>
      <w:marTop w:val="0"/>
      <w:marBottom w:val="0"/>
      <w:divBdr>
        <w:top w:val="none" w:sz="0" w:space="0" w:color="auto"/>
        <w:left w:val="none" w:sz="0" w:space="0" w:color="auto"/>
        <w:bottom w:val="none" w:sz="0" w:space="0" w:color="auto"/>
        <w:right w:val="none" w:sz="0" w:space="0" w:color="auto"/>
      </w:divBdr>
    </w:div>
    <w:div w:id="37552577">
      <w:bodyDiv w:val="1"/>
      <w:marLeft w:val="0"/>
      <w:marRight w:val="0"/>
      <w:marTop w:val="0"/>
      <w:marBottom w:val="0"/>
      <w:divBdr>
        <w:top w:val="none" w:sz="0" w:space="0" w:color="auto"/>
        <w:left w:val="none" w:sz="0" w:space="0" w:color="auto"/>
        <w:bottom w:val="none" w:sz="0" w:space="0" w:color="auto"/>
        <w:right w:val="none" w:sz="0" w:space="0" w:color="auto"/>
      </w:divBdr>
      <w:divsChild>
        <w:div w:id="947009966">
          <w:marLeft w:val="0"/>
          <w:marRight w:val="0"/>
          <w:marTop w:val="0"/>
          <w:marBottom w:val="0"/>
          <w:divBdr>
            <w:top w:val="single" w:sz="2" w:space="0" w:color="E3E3E3"/>
            <w:left w:val="single" w:sz="2" w:space="0" w:color="E3E3E3"/>
            <w:bottom w:val="single" w:sz="2" w:space="0" w:color="E3E3E3"/>
            <w:right w:val="single" w:sz="2" w:space="0" w:color="E3E3E3"/>
          </w:divBdr>
          <w:divsChild>
            <w:div w:id="987781898">
              <w:marLeft w:val="0"/>
              <w:marRight w:val="0"/>
              <w:marTop w:val="0"/>
              <w:marBottom w:val="0"/>
              <w:divBdr>
                <w:top w:val="single" w:sz="2" w:space="0" w:color="E3E3E3"/>
                <w:left w:val="single" w:sz="2" w:space="0" w:color="E3E3E3"/>
                <w:bottom w:val="single" w:sz="2" w:space="0" w:color="E3E3E3"/>
                <w:right w:val="single" w:sz="2" w:space="0" w:color="E3E3E3"/>
              </w:divBdr>
              <w:divsChild>
                <w:div w:id="786895988">
                  <w:marLeft w:val="0"/>
                  <w:marRight w:val="0"/>
                  <w:marTop w:val="0"/>
                  <w:marBottom w:val="0"/>
                  <w:divBdr>
                    <w:top w:val="single" w:sz="2" w:space="0" w:color="E3E3E3"/>
                    <w:left w:val="single" w:sz="2" w:space="0" w:color="E3E3E3"/>
                    <w:bottom w:val="single" w:sz="2" w:space="0" w:color="E3E3E3"/>
                    <w:right w:val="single" w:sz="2" w:space="0" w:color="E3E3E3"/>
                  </w:divBdr>
                  <w:divsChild>
                    <w:div w:id="698892807">
                      <w:marLeft w:val="0"/>
                      <w:marRight w:val="0"/>
                      <w:marTop w:val="0"/>
                      <w:marBottom w:val="0"/>
                      <w:divBdr>
                        <w:top w:val="single" w:sz="2" w:space="0" w:color="E3E3E3"/>
                        <w:left w:val="single" w:sz="2" w:space="0" w:color="E3E3E3"/>
                        <w:bottom w:val="single" w:sz="2" w:space="0" w:color="E3E3E3"/>
                        <w:right w:val="single" w:sz="2" w:space="0" w:color="E3E3E3"/>
                      </w:divBdr>
                      <w:divsChild>
                        <w:div w:id="1683118681">
                          <w:marLeft w:val="0"/>
                          <w:marRight w:val="0"/>
                          <w:marTop w:val="0"/>
                          <w:marBottom w:val="0"/>
                          <w:divBdr>
                            <w:top w:val="single" w:sz="2" w:space="0" w:color="E3E3E3"/>
                            <w:left w:val="single" w:sz="2" w:space="0" w:color="E3E3E3"/>
                            <w:bottom w:val="single" w:sz="2" w:space="0" w:color="E3E3E3"/>
                            <w:right w:val="single" w:sz="2" w:space="0" w:color="E3E3E3"/>
                          </w:divBdr>
                          <w:divsChild>
                            <w:div w:id="661979155">
                              <w:marLeft w:val="0"/>
                              <w:marRight w:val="0"/>
                              <w:marTop w:val="0"/>
                              <w:marBottom w:val="0"/>
                              <w:divBdr>
                                <w:top w:val="single" w:sz="2" w:space="0" w:color="E3E3E3"/>
                                <w:left w:val="single" w:sz="2" w:space="0" w:color="E3E3E3"/>
                                <w:bottom w:val="single" w:sz="2" w:space="0" w:color="E3E3E3"/>
                                <w:right w:val="single" w:sz="2" w:space="0" w:color="E3E3E3"/>
                              </w:divBdr>
                              <w:divsChild>
                                <w:div w:id="145169251">
                                  <w:marLeft w:val="0"/>
                                  <w:marRight w:val="0"/>
                                  <w:marTop w:val="100"/>
                                  <w:marBottom w:val="100"/>
                                  <w:divBdr>
                                    <w:top w:val="single" w:sz="2" w:space="0" w:color="E3E3E3"/>
                                    <w:left w:val="single" w:sz="2" w:space="0" w:color="E3E3E3"/>
                                    <w:bottom w:val="single" w:sz="2" w:space="0" w:color="E3E3E3"/>
                                    <w:right w:val="single" w:sz="2" w:space="0" w:color="E3E3E3"/>
                                  </w:divBdr>
                                  <w:divsChild>
                                    <w:div w:id="526022921">
                                      <w:marLeft w:val="0"/>
                                      <w:marRight w:val="0"/>
                                      <w:marTop w:val="0"/>
                                      <w:marBottom w:val="0"/>
                                      <w:divBdr>
                                        <w:top w:val="single" w:sz="2" w:space="0" w:color="E3E3E3"/>
                                        <w:left w:val="single" w:sz="2" w:space="0" w:color="E3E3E3"/>
                                        <w:bottom w:val="single" w:sz="2" w:space="0" w:color="E3E3E3"/>
                                        <w:right w:val="single" w:sz="2" w:space="0" w:color="E3E3E3"/>
                                      </w:divBdr>
                                      <w:divsChild>
                                        <w:div w:id="2029870314">
                                          <w:marLeft w:val="0"/>
                                          <w:marRight w:val="0"/>
                                          <w:marTop w:val="0"/>
                                          <w:marBottom w:val="0"/>
                                          <w:divBdr>
                                            <w:top w:val="single" w:sz="2" w:space="0" w:color="E3E3E3"/>
                                            <w:left w:val="single" w:sz="2" w:space="0" w:color="E3E3E3"/>
                                            <w:bottom w:val="single" w:sz="2" w:space="0" w:color="E3E3E3"/>
                                            <w:right w:val="single" w:sz="2" w:space="0" w:color="E3E3E3"/>
                                          </w:divBdr>
                                          <w:divsChild>
                                            <w:div w:id="844395328">
                                              <w:marLeft w:val="0"/>
                                              <w:marRight w:val="0"/>
                                              <w:marTop w:val="0"/>
                                              <w:marBottom w:val="0"/>
                                              <w:divBdr>
                                                <w:top w:val="single" w:sz="2" w:space="0" w:color="E3E3E3"/>
                                                <w:left w:val="single" w:sz="2" w:space="0" w:color="E3E3E3"/>
                                                <w:bottom w:val="single" w:sz="2" w:space="0" w:color="E3E3E3"/>
                                                <w:right w:val="single" w:sz="2" w:space="0" w:color="E3E3E3"/>
                                              </w:divBdr>
                                              <w:divsChild>
                                                <w:div w:id="1698119008">
                                                  <w:marLeft w:val="0"/>
                                                  <w:marRight w:val="0"/>
                                                  <w:marTop w:val="0"/>
                                                  <w:marBottom w:val="0"/>
                                                  <w:divBdr>
                                                    <w:top w:val="single" w:sz="2" w:space="0" w:color="E3E3E3"/>
                                                    <w:left w:val="single" w:sz="2" w:space="0" w:color="E3E3E3"/>
                                                    <w:bottom w:val="single" w:sz="2" w:space="0" w:color="E3E3E3"/>
                                                    <w:right w:val="single" w:sz="2" w:space="0" w:color="E3E3E3"/>
                                                  </w:divBdr>
                                                  <w:divsChild>
                                                    <w:div w:id="867331582">
                                                      <w:marLeft w:val="0"/>
                                                      <w:marRight w:val="0"/>
                                                      <w:marTop w:val="0"/>
                                                      <w:marBottom w:val="0"/>
                                                      <w:divBdr>
                                                        <w:top w:val="single" w:sz="2" w:space="0" w:color="E3E3E3"/>
                                                        <w:left w:val="single" w:sz="2" w:space="0" w:color="E3E3E3"/>
                                                        <w:bottom w:val="single" w:sz="2" w:space="0" w:color="E3E3E3"/>
                                                        <w:right w:val="single" w:sz="2" w:space="0" w:color="E3E3E3"/>
                                                      </w:divBdr>
                                                      <w:divsChild>
                                                        <w:div w:id="693388751">
                                                          <w:marLeft w:val="0"/>
                                                          <w:marRight w:val="0"/>
                                                          <w:marTop w:val="0"/>
                                                          <w:marBottom w:val="0"/>
                                                          <w:divBdr>
                                                            <w:top w:val="single" w:sz="2" w:space="2" w:color="E3E3E3"/>
                                                            <w:left w:val="single" w:sz="2" w:space="0" w:color="E3E3E3"/>
                                                            <w:bottom w:val="single" w:sz="2" w:space="0" w:color="E3E3E3"/>
                                                            <w:right w:val="single" w:sz="2" w:space="0" w:color="E3E3E3"/>
                                                          </w:divBdr>
                                                          <w:divsChild>
                                                            <w:div w:id="154779435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486702556">
          <w:marLeft w:val="0"/>
          <w:marRight w:val="0"/>
          <w:marTop w:val="0"/>
          <w:marBottom w:val="0"/>
          <w:divBdr>
            <w:top w:val="none" w:sz="0" w:space="0" w:color="auto"/>
            <w:left w:val="none" w:sz="0" w:space="0" w:color="auto"/>
            <w:bottom w:val="none" w:sz="0" w:space="0" w:color="auto"/>
            <w:right w:val="none" w:sz="0" w:space="0" w:color="auto"/>
          </w:divBdr>
          <w:divsChild>
            <w:div w:id="416294108">
              <w:marLeft w:val="0"/>
              <w:marRight w:val="0"/>
              <w:marTop w:val="100"/>
              <w:marBottom w:val="100"/>
              <w:divBdr>
                <w:top w:val="single" w:sz="2" w:space="0" w:color="E3E3E3"/>
                <w:left w:val="single" w:sz="2" w:space="0" w:color="E3E3E3"/>
                <w:bottom w:val="single" w:sz="2" w:space="0" w:color="E3E3E3"/>
                <w:right w:val="single" w:sz="2" w:space="0" w:color="E3E3E3"/>
              </w:divBdr>
              <w:divsChild>
                <w:div w:id="194815230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37710048">
      <w:bodyDiv w:val="1"/>
      <w:marLeft w:val="0"/>
      <w:marRight w:val="0"/>
      <w:marTop w:val="0"/>
      <w:marBottom w:val="0"/>
      <w:divBdr>
        <w:top w:val="none" w:sz="0" w:space="0" w:color="auto"/>
        <w:left w:val="none" w:sz="0" w:space="0" w:color="auto"/>
        <w:bottom w:val="none" w:sz="0" w:space="0" w:color="auto"/>
        <w:right w:val="none" w:sz="0" w:space="0" w:color="auto"/>
      </w:divBdr>
    </w:div>
    <w:div w:id="175509111">
      <w:bodyDiv w:val="1"/>
      <w:marLeft w:val="0"/>
      <w:marRight w:val="0"/>
      <w:marTop w:val="0"/>
      <w:marBottom w:val="0"/>
      <w:divBdr>
        <w:top w:val="none" w:sz="0" w:space="0" w:color="auto"/>
        <w:left w:val="none" w:sz="0" w:space="0" w:color="auto"/>
        <w:bottom w:val="none" w:sz="0" w:space="0" w:color="auto"/>
        <w:right w:val="none" w:sz="0" w:space="0" w:color="auto"/>
      </w:divBdr>
    </w:div>
    <w:div w:id="206189277">
      <w:bodyDiv w:val="1"/>
      <w:marLeft w:val="0"/>
      <w:marRight w:val="0"/>
      <w:marTop w:val="0"/>
      <w:marBottom w:val="0"/>
      <w:divBdr>
        <w:top w:val="none" w:sz="0" w:space="0" w:color="auto"/>
        <w:left w:val="none" w:sz="0" w:space="0" w:color="auto"/>
        <w:bottom w:val="none" w:sz="0" w:space="0" w:color="auto"/>
        <w:right w:val="none" w:sz="0" w:space="0" w:color="auto"/>
      </w:divBdr>
    </w:div>
    <w:div w:id="208806961">
      <w:bodyDiv w:val="1"/>
      <w:marLeft w:val="0"/>
      <w:marRight w:val="0"/>
      <w:marTop w:val="0"/>
      <w:marBottom w:val="0"/>
      <w:divBdr>
        <w:top w:val="none" w:sz="0" w:space="0" w:color="auto"/>
        <w:left w:val="none" w:sz="0" w:space="0" w:color="auto"/>
        <w:bottom w:val="none" w:sz="0" w:space="0" w:color="auto"/>
        <w:right w:val="none" w:sz="0" w:space="0" w:color="auto"/>
      </w:divBdr>
    </w:div>
    <w:div w:id="262149017">
      <w:bodyDiv w:val="1"/>
      <w:marLeft w:val="0"/>
      <w:marRight w:val="0"/>
      <w:marTop w:val="0"/>
      <w:marBottom w:val="0"/>
      <w:divBdr>
        <w:top w:val="none" w:sz="0" w:space="0" w:color="auto"/>
        <w:left w:val="none" w:sz="0" w:space="0" w:color="auto"/>
        <w:bottom w:val="none" w:sz="0" w:space="0" w:color="auto"/>
        <w:right w:val="none" w:sz="0" w:space="0" w:color="auto"/>
      </w:divBdr>
      <w:divsChild>
        <w:div w:id="2015646126">
          <w:marLeft w:val="0"/>
          <w:marRight w:val="0"/>
          <w:marTop w:val="0"/>
          <w:marBottom w:val="0"/>
          <w:divBdr>
            <w:top w:val="none" w:sz="0" w:space="0" w:color="auto"/>
            <w:left w:val="none" w:sz="0" w:space="0" w:color="auto"/>
            <w:bottom w:val="none" w:sz="0" w:space="0" w:color="auto"/>
            <w:right w:val="none" w:sz="0" w:space="0" w:color="auto"/>
          </w:divBdr>
        </w:div>
      </w:divsChild>
    </w:div>
    <w:div w:id="271861088">
      <w:bodyDiv w:val="1"/>
      <w:marLeft w:val="0"/>
      <w:marRight w:val="0"/>
      <w:marTop w:val="0"/>
      <w:marBottom w:val="0"/>
      <w:divBdr>
        <w:top w:val="none" w:sz="0" w:space="0" w:color="auto"/>
        <w:left w:val="none" w:sz="0" w:space="0" w:color="auto"/>
        <w:bottom w:val="none" w:sz="0" w:space="0" w:color="auto"/>
        <w:right w:val="none" w:sz="0" w:space="0" w:color="auto"/>
      </w:divBdr>
    </w:div>
    <w:div w:id="273484884">
      <w:bodyDiv w:val="1"/>
      <w:marLeft w:val="0"/>
      <w:marRight w:val="0"/>
      <w:marTop w:val="0"/>
      <w:marBottom w:val="0"/>
      <w:divBdr>
        <w:top w:val="none" w:sz="0" w:space="0" w:color="auto"/>
        <w:left w:val="none" w:sz="0" w:space="0" w:color="auto"/>
        <w:bottom w:val="none" w:sz="0" w:space="0" w:color="auto"/>
        <w:right w:val="none" w:sz="0" w:space="0" w:color="auto"/>
      </w:divBdr>
    </w:div>
    <w:div w:id="282813665">
      <w:bodyDiv w:val="1"/>
      <w:marLeft w:val="0"/>
      <w:marRight w:val="0"/>
      <w:marTop w:val="0"/>
      <w:marBottom w:val="0"/>
      <w:divBdr>
        <w:top w:val="none" w:sz="0" w:space="0" w:color="auto"/>
        <w:left w:val="none" w:sz="0" w:space="0" w:color="auto"/>
        <w:bottom w:val="none" w:sz="0" w:space="0" w:color="auto"/>
        <w:right w:val="none" w:sz="0" w:space="0" w:color="auto"/>
      </w:divBdr>
    </w:div>
    <w:div w:id="324481020">
      <w:bodyDiv w:val="1"/>
      <w:marLeft w:val="0"/>
      <w:marRight w:val="0"/>
      <w:marTop w:val="0"/>
      <w:marBottom w:val="0"/>
      <w:divBdr>
        <w:top w:val="none" w:sz="0" w:space="0" w:color="auto"/>
        <w:left w:val="none" w:sz="0" w:space="0" w:color="auto"/>
        <w:bottom w:val="none" w:sz="0" w:space="0" w:color="auto"/>
        <w:right w:val="none" w:sz="0" w:space="0" w:color="auto"/>
      </w:divBdr>
    </w:div>
    <w:div w:id="337344538">
      <w:bodyDiv w:val="1"/>
      <w:marLeft w:val="0"/>
      <w:marRight w:val="0"/>
      <w:marTop w:val="0"/>
      <w:marBottom w:val="0"/>
      <w:divBdr>
        <w:top w:val="none" w:sz="0" w:space="0" w:color="auto"/>
        <w:left w:val="none" w:sz="0" w:space="0" w:color="auto"/>
        <w:bottom w:val="none" w:sz="0" w:space="0" w:color="auto"/>
        <w:right w:val="none" w:sz="0" w:space="0" w:color="auto"/>
      </w:divBdr>
    </w:div>
    <w:div w:id="387534604">
      <w:bodyDiv w:val="1"/>
      <w:marLeft w:val="0"/>
      <w:marRight w:val="0"/>
      <w:marTop w:val="0"/>
      <w:marBottom w:val="0"/>
      <w:divBdr>
        <w:top w:val="none" w:sz="0" w:space="0" w:color="auto"/>
        <w:left w:val="none" w:sz="0" w:space="0" w:color="auto"/>
        <w:bottom w:val="none" w:sz="0" w:space="0" w:color="auto"/>
        <w:right w:val="none" w:sz="0" w:space="0" w:color="auto"/>
      </w:divBdr>
    </w:div>
    <w:div w:id="433285785">
      <w:bodyDiv w:val="1"/>
      <w:marLeft w:val="0"/>
      <w:marRight w:val="0"/>
      <w:marTop w:val="0"/>
      <w:marBottom w:val="0"/>
      <w:divBdr>
        <w:top w:val="none" w:sz="0" w:space="0" w:color="auto"/>
        <w:left w:val="none" w:sz="0" w:space="0" w:color="auto"/>
        <w:bottom w:val="none" w:sz="0" w:space="0" w:color="auto"/>
        <w:right w:val="none" w:sz="0" w:space="0" w:color="auto"/>
      </w:divBdr>
    </w:div>
    <w:div w:id="441607179">
      <w:bodyDiv w:val="1"/>
      <w:marLeft w:val="0"/>
      <w:marRight w:val="0"/>
      <w:marTop w:val="0"/>
      <w:marBottom w:val="0"/>
      <w:divBdr>
        <w:top w:val="none" w:sz="0" w:space="0" w:color="auto"/>
        <w:left w:val="none" w:sz="0" w:space="0" w:color="auto"/>
        <w:bottom w:val="none" w:sz="0" w:space="0" w:color="auto"/>
        <w:right w:val="none" w:sz="0" w:space="0" w:color="auto"/>
      </w:divBdr>
      <w:divsChild>
        <w:div w:id="618998651">
          <w:marLeft w:val="0"/>
          <w:marRight w:val="0"/>
          <w:marTop w:val="0"/>
          <w:marBottom w:val="0"/>
          <w:divBdr>
            <w:top w:val="none" w:sz="0" w:space="0" w:color="auto"/>
            <w:left w:val="none" w:sz="0" w:space="0" w:color="auto"/>
            <w:bottom w:val="none" w:sz="0" w:space="0" w:color="auto"/>
            <w:right w:val="none" w:sz="0" w:space="0" w:color="auto"/>
          </w:divBdr>
          <w:divsChild>
            <w:div w:id="1650593657">
              <w:marLeft w:val="0"/>
              <w:marRight w:val="0"/>
              <w:marTop w:val="100"/>
              <w:marBottom w:val="100"/>
              <w:divBdr>
                <w:top w:val="single" w:sz="2" w:space="0" w:color="E3E3E3"/>
                <w:left w:val="single" w:sz="2" w:space="0" w:color="E3E3E3"/>
                <w:bottom w:val="single" w:sz="2" w:space="0" w:color="E3E3E3"/>
                <w:right w:val="single" w:sz="2" w:space="0" w:color="E3E3E3"/>
              </w:divBdr>
              <w:divsChild>
                <w:div w:id="20371962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861384656">
          <w:marLeft w:val="0"/>
          <w:marRight w:val="0"/>
          <w:marTop w:val="0"/>
          <w:marBottom w:val="0"/>
          <w:divBdr>
            <w:top w:val="single" w:sz="2" w:space="0" w:color="E3E3E3"/>
            <w:left w:val="single" w:sz="2" w:space="0" w:color="E3E3E3"/>
            <w:bottom w:val="single" w:sz="2" w:space="0" w:color="E3E3E3"/>
            <w:right w:val="single" w:sz="2" w:space="0" w:color="E3E3E3"/>
          </w:divBdr>
          <w:divsChild>
            <w:div w:id="2124764212">
              <w:marLeft w:val="0"/>
              <w:marRight w:val="0"/>
              <w:marTop w:val="0"/>
              <w:marBottom w:val="0"/>
              <w:divBdr>
                <w:top w:val="single" w:sz="2" w:space="0" w:color="E3E3E3"/>
                <w:left w:val="single" w:sz="2" w:space="0" w:color="E3E3E3"/>
                <w:bottom w:val="single" w:sz="2" w:space="0" w:color="E3E3E3"/>
                <w:right w:val="single" w:sz="2" w:space="0" w:color="E3E3E3"/>
              </w:divBdr>
              <w:divsChild>
                <w:div w:id="1104304698">
                  <w:marLeft w:val="0"/>
                  <w:marRight w:val="0"/>
                  <w:marTop w:val="0"/>
                  <w:marBottom w:val="0"/>
                  <w:divBdr>
                    <w:top w:val="single" w:sz="2" w:space="0" w:color="E3E3E3"/>
                    <w:left w:val="single" w:sz="2" w:space="0" w:color="E3E3E3"/>
                    <w:bottom w:val="single" w:sz="2" w:space="0" w:color="E3E3E3"/>
                    <w:right w:val="single" w:sz="2" w:space="0" w:color="E3E3E3"/>
                  </w:divBdr>
                  <w:divsChild>
                    <w:div w:id="453795998">
                      <w:marLeft w:val="0"/>
                      <w:marRight w:val="0"/>
                      <w:marTop w:val="0"/>
                      <w:marBottom w:val="0"/>
                      <w:divBdr>
                        <w:top w:val="single" w:sz="2" w:space="0" w:color="E3E3E3"/>
                        <w:left w:val="single" w:sz="2" w:space="0" w:color="E3E3E3"/>
                        <w:bottom w:val="single" w:sz="2" w:space="0" w:color="E3E3E3"/>
                        <w:right w:val="single" w:sz="2" w:space="0" w:color="E3E3E3"/>
                      </w:divBdr>
                      <w:divsChild>
                        <w:div w:id="1078746930">
                          <w:marLeft w:val="0"/>
                          <w:marRight w:val="0"/>
                          <w:marTop w:val="0"/>
                          <w:marBottom w:val="0"/>
                          <w:divBdr>
                            <w:top w:val="single" w:sz="2" w:space="0" w:color="E3E3E3"/>
                            <w:left w:val="single" w:sz="2" w:space="0" w:color="E3E3E3"/>
                            <w:bottom w:val="single" w:sz="2" w:space="0" w:color="E3E3E3"/>
                            <w:right w:val="single" w:sz="2" w:space="0" w:color="E3E3E3"/>
                          </w:divBdr>
                          <w:divsChild>
                            <w:div w:id="1745759720">
                              <w:marLeft w:val="0"/>
                              <w:marRight w:val="0"/>
                              <w:marTop w:val="0"/>
                              <w:marBottom w:val="0"/>
                              <w:divBdr>
                                <w:top w:val="single" w:sz="2" w:space="0" w:color="E3E3E3"/>
                                <w:left w:val="single" w:sz="2" w:space="0" w:color="E3E3E3"/>
                                <w:bottom w:val="single" w:sz="2" w:space="0" w:color="E3E3E3"/>
                                <w:right w:val="single" w:sz="2" w:space="0" w:color="E3E3E3"/>
                              </w:divBdr>
                              <w:divsChild>
                                <w:div w:id="387145510">
                                  <w:marLeft w:val="0"/>
                                  <w:marRight w:val="0"/>
                                  <w:marTop w:val="100"/>
                                  <w:marBottom w:val="100"/>
                                  <w:divBdr>
                                    <w:top w:val="single" w:sz="2" w:space="0" w:color="E3E3E3"/>
                                    <w:left w:val="single" w:sz="2" w:space="0" w:color="E3E3E3"/>
                                    <w:bottom w:val="single" w:sz="2" w:space="0" w:color="E3E3E3"/>
                                    <w:right w:val="single" w:sz="2" w:space="0" w:color="E3E3E3"/>
                                  </w:divBdr>
                                  <w:divsChild>
                                    <w:div w:id="409431005">
                                      <w:marLeft w:val="0"/>
                                      <w:marRight w:val="0"/>
                                      <w:marTop w:val="0"/>
                                      <w:marBottom w:val="0"/>
                                      <w:divBdr>
                                        <w:top w:val="single" w:sz="2" w:space="0" w:color="E3E3E3"/>
                                        <w:left w:val="single" w:sz="2" w:space="0" w:color="E3E3E3"/>
                                        <w:bottom w:val="single" w:sz="2" w:space="0" w:color="E3E3E3"/>
                                        <w:right w:val="single" w:sz="2" w:space="0" w:color="E3E3E3"/>
                                      </w:divBdr>
                                      <w:divsChild>
                                        <w:div w:id="756363915">
                                          <w:marLeft w:val="0"/>
                                          <w:marRight w:val="0"/>
                                          <w:marTop w:val="0"/>
                                          <w:marBottom w:val="0"/>
                                          <w:divBdr>
                                            <w:top w:val="single" w:sz="2" w:space="0" w:color="E3E3E3"/>
                                            <w:left w:val="single" w:sz="2" w:space="0" w:color="E3E3E3"/>
                                            <w:bottom w:val="single" w:sz="2" w:space="0" w:color="E3E3E3"/>
                                            <w:right w:val="single" w:sz="2" w:space="0" w:color="E3E3E3"/>
                                          </w:divBdr>
                                          <w:divsChild>
                                            <w:div w:id="2133012114">
                                              <w:marLeft w:val="0"/>
                                              <w:marRight w:val="0"/>
                                              <w:marTop w:val="0"/>
                                              <w:marBottom w:val="0"/>
                                              <w:divBdr>
                                                <w:top w:val="single" w:sz="2" w:space="0" w:color="E3E3E3"/>
                                                <w:left w:val="single" w:sz="2" w:space="0" w:color="E3E3E3"/>
                                                <w:bottom w:val="single" w:sz="2" w:space="0" w:color="E3E3E3"/>
                                                <w:right w:val="single" w:sz="2" w:space="0" w:color="E3E3E3"/>
                                              </w:divBdr>
                                              <w:divsChild>
                                                <w:div w:id="671838860">
                                                  <w:marLeft w:val="0"/>
                                                  <w:marRight w:val="0"/>
                                                  <w:marTop w:val="0"/>
                                                  <w:marBottom w:val="0"/>
                                                  <w:divBdr>
                                                    <w:top w:val="single" w:sz="2" w:space="0" w:color="E3E3E3"/>
                                                    <w:left w:val="single" w:sz="2" w:space="0" w:color="E3E3E3"/>
                                                    <w:bottom w:val="single" w:sz="2" w:space="0" w:color="E3E3E3"/>
                                                    <w:right w:val="single" w:sz="2" w:space="0" w:color="E3E3E3"/>
                                                  </w:divBdr>
                                                  <w:divsChild>
                                                    <w:div w:id="1406950127">
                                                      <w:marLeft w:val="0"/>
                                                      <w:marRight w:val="0"/>
                                                      <w:marTop w:val="0"/>
                                                      <w:marBottom w:val="0"/>
                                                      <w:divBdr>
                                                        <w:top w:val="single" w:sz="2" w:space="0" w:color="E3E3E3"/>
                                                        <w:left w:val="single" w:sz="2" w:space="0" w:color="E3E3E3"/>
                                                        <w:bottom w:val="single" w:sz="2" w:space="0" w:color="E3E3E3"/>
                                                        <w:right w:val="single" w:sz="2" w:space="0" w:color="E3E3E3"/>
                                                      </w:divBdr>
                                                      <w:divsChild>
                                                        <w:div w:id="75976343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451871941">
      <w:bodyDiv w:val="1"/>
      <w:marLeft w:val="0"/>
      <w:marRight w:val="0"/>
      <w:marTop w:val="0"/>
      <w:marBottom w:val="0"/>
      <w:divBdr>
        <w:top w:val="none" w:sz="0" w:space="0" w:color="auto"/>
        <w:left w:val="none" w:sz="0" w:space="0" w:color="auto"/>
        <w:bottom w:val="none" w:sz="0" w:space="0" w:color="auto"/>
        <w:right w:val="none" w:sz="0" w:space="0" w:color="auto"/>
      </w:divBdr>
    </w:div>
    <w:div w:id="474833811">
      <w:bodyDiv w:val="1"/>
      <w:marLeft w:val="0"/>
      <w:marRight w:val="0"/>
      <w:marTop w:val="0"/>
      <w:marBottom w:val="0"/>
      <w:divBdr>
        <w:top w:val="none" w:sz="0" w:space="0" w:color="auto"/>
        <w:left w:val="none" w:sz="0" w:space="0" w:color="auto"/>
        <w:bottom w:val="none" w:sz="0" w:space="0" w:color="auto"/>
        <w:right w:val="none" w:sz="0" w:space="0" w:color="auto"/>
      </w:divBdr>
    </w:div>
    <w:div w:id="479350059">
      <w:bodyDiv w:val="1"/>
      <w:marLeft w:val="0"/>
      <w:marRight w:val="0"/>
      <w:marTop w:val="0"/>
      <w:marBottom w:val="0"/>
      <w:divBdr>
        <w:top w:val="none" w:sz="0" w:space="0" w:color="auto"/>
        <w:left w:val="none" w:sz="0" w:space="0" w:color="auto"/>
        <w:bottom w:val="none" w:sz="0" w:space="0" w:color="auto"/>
        <w:right w:val="none" w:sz="0" w:space="0" w:color="auto"/>
      </w:divBdr>
    </w:div>
    <w:div w:id="502664182">
      <w:bodyDiv w:val="1"/>
      <w:marLeft w:val="0"/>
      <w:marRight w:val="0"/>
      <w:marTop w:val="0"/>
      <w:marBottom w:val="0"/>
      <w:divBdr>
        <w:top w:val="none" w:sz="0" w:space="0" w:color="auto"/>
        <w:left w:val="none" w:sz="0" w:space="0" w:color="auto"/>
        <w:bottom w:val="none" w:sz="0" w:space="0" w:color="auto"/>
        <w:right w:val="none" w:sz="0" w:space="0" w:color="auto"/>
      </w:divBdr>
    </w:div>
    <w:div w:id="537544633">
      <w:bodyDiv w:val="1"/>
      <w:marLeft w:val="0"/>
      <w:marRight w:val="0"/>
      <w:marTop w:val="0"/>
      <w:marBottom w:val="0"/>
      <w:divBdr>
        <w:top w:val="none" w:sz="0" w:space="0" w:color="auto"/>
        <w:left w:val="none" w:sz="0" w:space="0" w:color="auto"/>
        <w:bottom w:val="none" w:sz="0" w:space="0" w:color="auto"/>
        <w:right w:val="none" w:sz="0" w:space="0" w:color="auto"/>
      </w:divBdr>
      <w:divsChild>
        <w:div w:id="1943878008">
          <w:marLeft w:val="0"/>
          <w:marRight w:val="0"/>
          <w:marTop w:val="0"/>
          <w:marBottom w:val="0"/>
          <w:divBdr>
            <w:top w:val="single" w:sz="2" w:space="0" w:color="E3E3E3"/>
            <w:left w:val="single" w:sz="2" w:space="0" w:color="E3E3E3"/>
            <w:bottom w:val="single" w:sz="2" w:space="0" w:color="E3E3E3"/>
            <w:right w:val="single" w:sz="2" w:space="0" w:color="E3E3E3"/>
          </w:divBdr>
          <w:divsChild>
            <w:div w:id="737900095">
              <w:marLeft w:val="0"/>
              <w:marRight w:val="0"/>
              <w:marTop w:val="0"/>
              <w:marBottom w:val="0"/>
              <w:divBdr>
                <w:top w:val="single" w:sz="2" w:space="0" w:color="E3E3E3"/>
                <w:left w:val="single" w:sz="2" w:space="0" w:color="E3E3E3"/>
                <w:bottom w:val="single" w:sz="2" w:space="0" w:color="E3E3E3"/>
                <w:right w:val="single" w:sz="2" w:space="0" w:color="E3E3E3"/>
              </w:divBdr>
              <w:divsChild>
                <w:div w:id="958142610">
                  <w:marLeft w:val="0"/>
                  <w:marRight w:val="0"/>
                  <w:marTop w:val="0"/>
                  <w:marBottom w:val="0"/>
                  <w:divBdr>
                    <w:top w:val="single" w:sz="2" w:space="0" w:color="E3E3E3"/>
                    <w:left w:val="single" w:sz="2" w:space="0" w:color="E3E3E3"/>
                    <w:bottom w:val="single" w:sz="2" w:space="0" w:color="E3E3E3"/>
                    <w:right w:val="single" w:sz="2" w:space="0" w:color="E3E3E3"/>
                  </w:divBdr>
                  <w:divsChild>
                    <w:div w:id="290482762">
                      <w:marLeft w:val="0"/>
                      <w:marRight w:val="0"/>
                      <w:marTop w:val="0"/>
                      <w:marBottom w:val="0"/>
                      <w:divBdr>
                        <w:top w:val="single" w:sz="2" w:space="0" w:color="E3E3E3"/>
                        <w:left w:val="single" w:sz="2" w:space="0" w:color="E3E3E3"/>
                        <w:bottom w:val="single" w:sz="2" w:space="0" w:color="E3E3E3"/>
                        <w:right w:val="single" w:sz="2" w:space="0" w:color="E3E3E3"/>
                      </w:divBdr>
                      <w:divsChild>
                        <w:div w:id="1155102949">
                          <w:marLeft w:val="0"/>
                          <w:marRight w:val="0"/>
                          <w:marTop w:val="0"/>
                          <w:marBottom w:val="0"/>
                          <w:divBdr>
                            <w:top w:val="single" w:sz="2" w:space="0" w:color="E3E3E3"/>
                            <w:left w:val="single" w:sz="2" w:space="0" w:color="E3E3E3"/>
                            <w:bottom w:val="single" w:sz="2" w:space="0" w:color="E3E3E3"/>
                            <w:right w:val="single" w:sz="2" w:space="0" w:color="E3E3E3"/>
                          </w:divBdr>
                          <w:divsChild>
                            <w:div w:id="323096499">
                              <w:marLeft w:val="0"/>
                              <w:marRight w:val="0"/>
                              <w:marTop w:val="0"/>
                              <w:marBottom w:val="0"/>
                              <w:divBdr>
                                <w:top w:val="single" w:sz="2" w:space="0" w:color="E3E3E3"/>
                                <w:left w:val="single" w:sz="2" w:space="0" w:color="E3E3E3"/>
                                <w:bottom w:val="single" w:sz="2" w:space="0" w:color="E3E3E3"/>
                                <w:right w:val="single" w:sz="2" w:space="0" w:color="E3E3E3"/>
                              </w:divBdr>
                              <w:divsChild>
                                <w:div w:id="1630697120">
                                  <w:marLeft w:val="0"/>
                                  <w:marRight w:val="0"/>
                                  <w:marTop w:val="100"/>
                                  <w:marBottom w:val="100"/>
                                  <w:divBdr>
                                    <w:top w:val="single" w:sz="2" w:space="0" w:color="E3E3E3"/>
                                    <w:left w:val="single" w:sz="2" w:space="0" w:color="E3E3E3"/>
                                    <w:bottom w:val="single" w:sz="2" w:space="0" w:color="E3E3E3"/>
                                    <w:right w:val="single" w:sz="2" w:space="0" w:color="E3E3E3"/>
                                  </w:divBdr>
                                  <w:divsChild>
                                    <w:div w:id="937713446">
                                      <w:marLeft w:val="0"/>
                                      <w:marRight w:val="0"/>
                                      <w:marTop w:val="0"/>
                                      <w:marBottom w:val="0"/>
                                      <w:divBdr>
                                        <w:top w:val="single" w:sz="2" w:space="0" w:color="E3E3E3"/>
                                        <w:left w:val="single" w:sz="2" w:space="0" w:color="E3E3E3"/>
                                        <w:bottom w:val="single" w:sz="2" w:space="0" w:color="E3E3E3"/>
                                        <w:right w:val="single" w:sz="2" w:space="0" w:color="E3E3E3"/>
                                      </w:divBdr>
                                      <w:divsChild>
                                        <w:div w:id="1034310937">
                                          <w:marLeft w:val="0"/>
                                          <w:marRight w:val="0"/>
                                          <w:marTop w:val="0"/>
                                          <w:marBottom w:val="0"/>
                                          <w:divBdr>
                                            <w:top w:val="single" w:sz="2" w:space="0" w:color="E3E3E3"/>
                                            <w:left w:val="single" w:sz="2" w:space="0" w:color="E3E3E3"/>
                                            <w:bottom w:val="single" w:sz="2" w:space="0" w:color="E3E3E3"/>
                                            <w:right w:val="single" w:sz="2" w:space="0" w:color="E3E3E3"/>
                                          </w:divBdr>
                                          <w:divsChild>
                                            <w:div w:id="266931126">
                                              <w:marLeft w:val="0"/>
                                              <w:marRight w:val="0"/>
                                              <w:marTop w:val="0"/>
                                              <w:marBottom w:val="0"/>
                                              <w:divBdr>
                                                <w:top w:val="single" w:sz="2" w:space="0" w:color="E3E3E3"/>
                                                <w:left w:val="single" w:sz="2" w:space="0" w:color="E3E3E3"/>
                                                <w:bottom w:val="single" w:sz="2" w:space="0" w:color="E3E3E3"/>
                                                <w:right w:val="single" w:sz="2" w:space="0" w:color="E3E3E3"/>
                                              </w:divBdr>
                                              <w:divsChild>
                                                <w:div w:id="824778998">
                                                  <w:marLeft w:val="0"/>
                                                  <w:marRight w:val="0"/>
                                                  <w:marTop w:val="0"/>
                                                  <w:marBottom w:val="0"/>
                                                  <w:divBdr>
                                                    <w:top w:val="single" w:sz="2" w:space="0" w:color="E3E3E3"/>
                                                    <w:left w:val="single" w:sz="2" w:space="0" w:color="E3E3E3"/>
                                                    <w:bottom w:val="single" w:sz="2" w:space="0" w:color="E3E3E3"/>
                                                    <w:right w:val="single" w:sz="2" w:space="0" w:color="E3E3E3"/>
                                                  </w:divBdr>
                                                  <w:divsChild>
                                                    <w:div w:id="137264555">
                                                      <w:marLeft w:val="0"/>
                                                      <w:marRight w:val="0"/>
                                                      <w:marTop w:val="0"/>
                                                      <w:marBottom w:val="0"/>
                                                      <w:divBdr>
                                                        <w:top w:val="single" w:sz="2" w:space="0" w:color="E3E3E3"/>
                                                        <w:left w:val="single" w:sz="2" w:space="0" w:color="E3E3E3"/>
                                                        <w:bottom w:val="single" w:sz="2" w:space="0" w:color="E3E3E3"/>
                                                        <w:right w:val="single" w:sz="2" w:space="0" w:color="E3E3E3"/>
                                                      </w:divBdr>
                                                      <w:divsChild>
                                                        <w:div w:id="702636826">
                                                          <w:marLeft w:val="0"/>
                                                          <w:marRight w:val="0"/>
                                                          <w:marTop w:val="0"/>
                                                          <w:marBottom w:val="0"/>
                                                          <w:divBdr>
                                                            <w:top w:val="single" w:sz="2" w:space="2" w:color="E3E3E3"/>
                                                            <w:left w:val="single" w:sz="2" w:space="0" w:color="E3E3E3"/>
                                                            <w:bottom w:val="single" w:sz="2" w:space="0" w:color="E3E3E3"/>
                                                            <w:right w:val="single" w:sz="2" w:space="0" w:color="E3E3E3"/>
                                                          </w:divBdr>
                                                          <w:divsChild>
                                                            <w:div w:id="145378525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992561052">
          <w:marLeft w:val="0"/>
          <w:marRight w:val="0"/>
          <w:marTop w:val="0"/>
          <w:marBottom w:val="0"/>
          <w:divBdr>
            <w:top w:val="none" w:sz="0" w:space="0" w:color="auto"/>
            <w:left w:val="none" w:sz="0" w:space="0" w:color="auto"/>
            <w:bottom w:val="none" w:sz="0" w:space="0" w:color="auto"/>
            <w:right w:val="none" w:sz="0" w:space="0" w:color="auto"/>
          </w:divBdr>
          <w:divsChild>
            <w:div w:id="1375154923">
              <w:marLeft w:val="0"/>
              <w:marRight w:val="0"/>
              <w:marTop w:val="100"/>
              <w:marBottom w:val="100"/>
              <w:divBdr>
                <w:top w:val="single" w:sz="2" w:space="0" w:color="E3E3E3"/>
                <w:left w:val="single" w:sz="2" w:space="0" w:color="E3E3E3"/>
                <w:bottom w:val="single" w:sz="2" w:space="0" w:color="E3E3E3"/>
                <w:right w:val="single" w:sz="2" w:space="0" w:color="E3E3E3"/>
              </w:divBdr>
              <w:divsChild>
                <w:div w:id="15388351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537814115">
      <w:bodyDiv w:val="1"/>
      <w:marLeft w:val="0"/>
      <w:marRight w:val="0"/>
      <w:marTop w:val="0"/>
      <w:marBottom w:val="0"/>
      <w:divBdr>
        <w:top w:val="none" w:sz="0" w:space="0" w:color="auto"/>
        <w:left w:val="none" w:sz="0" w:space="0" w:color="auto"/>
        <w:bottom w:val="none" w:sz="0" w:space="0" w:color="auto"/>
        <w:right w:val="none" w:sz="0" w:space="0" w:color="auto"/>
      </w:divBdr>
    </w:div>
    <w:div w:id="563104515">
      <w:bodyDiv w:val="1"/>
      <w:marLeft w:val="0"/>
      <w:marRight w:val="0"/>
      <w:marTop w:val="0"/>
      <w:marBottom w:val="0"/>
      <w:divBdr>
        <w:top w:val="none" w:sz="0" w:space="0" w:color="auto"/>
        <w:left w:val="none" w:sz="0" w:space="0" w:color="auto"/>
        <w:bottom w:val="none" w:sz="0" w:space="0" w:color="auto"/>
        <w:right w:val="none" w:sz="0" w:space="0" w:color="auto"/>
      </w:divBdr>
    </w:div>
    <w:div w:id="573710543">
      <w:bodyDiv w:val="1"/>
      <w:marLeft w:val="0"/>
      <w:marRight w:val="0"/>
      <w:marTop w:val="0"/>
      <w:marBottom w:val="0"/>
      <w:divBdr>
        <w:top w:val="none" w:sz="0" w:space="0" w:color="auto"/>
        <w:left w:val="none" w:sz="0" w:space="0" w:color="auto"/>
        <w:bottom w:val="none" w:sz="0" w:space="0" w:color="auto"/>
        <w:right w:val="none" w:sz="0" w:space="0" w:color="auto"/>
      </w:divBdr>
      <w:divsChild>
        <w:div w:id="872225988">
          <w:marLeft w:val="0"/>
          <w:marRight w:val="0"/>
          <w:marTop w:val="0"/>
          <w:marBottom w:val="0"/>
          <w:divBdr>
            <w:top w:val="none" w:sz="0" w:space="0" w:color="auto"/>
            <w:left w:val="none" w:sz="0" w:space="0" w:color="auto"/>
            <w:bottom w:val="none" w:sz="0" w:space="0" w:color="auto"/>
            <w:right w:val="none" w:sz="0" w:space="0" w:color="auto"/>
          </w:divBdr>
          <w:divsChild>
            <w:div w:id="1011569855">
              <w:marLeft w:val="0"/>
              <w:marRight w:val="0"/>
              <w:marTop w:val="100"/>
              <w:marBottom w:val="100"/>
              <w:divBdr>
                <w:top w:val="single" w:sz="2" w:space="0" w:color="E3E3E3"/>
                <w:left w:val="single" w:sz="2" w:space="0" w:color="E3E3E3"/>
                <w:bottom w:val="single" w:sz="2" w:space="0" w:color="E3E3E3"/>
                <w:right w:val="single" w:sz="2" w:space="0" w:color="E3E3E3"/>
              </w:divBdr>
              <w:divsChild>
                <w:div w:id="6438925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976688117">
          <w:marLeft w:val="0"/>
          <w:marRight w:val="0"/>
          <w:marTop w:val="0"/>
          <w:marBottom w:val="0"/>
          <w:divBdr>
            <w:top w:val="single" w:sz="2" w:space="0" w:color="E3E3E3"/>
            <w:left w:val="single" w:sz="2" w:space="0" w:color="E3E3E3"/>
            <w:bottom w:val="single" w:sz="2" w:space="0" w:color="E3E3E3"/>
            <w:right w:val="single" w:sz="2" w:space="0" w:color="E3E3E3"/>
          </w:divBdr>
          <w:divsChild>
            <w:div w:id="2074694590">
              <w:marLeft w:val="0"/>
              <w:marRight w:val="0"/>
              <w:marTop w:val="0"/>
              <w:marBottom w:val="0"/>
              <w:divBdr>
                <w:top w:val="single" w:sz="2" w:space="0" w:color="E3E3E3"/>
                <w:left w:val="single" w:sz="2" w:space="0" w:color="E3E3E3"/>
                <w:bottom w:val="single" w:sz="2" w:space="0" w:color="E3E3E3"/>
                <w:right w:val="single" w:sz="2" w:space="0" w:color="E3E3E3"/>
              </w:divBdr>
              <w:divsChild>
                <w:div w:id="293800350">
                  <w:marLeft w:val="0"/>
                  <w:marRight w:val="0"/>
                  <w:marTop w:val="0"/>
                  <w:marBottom w:val="0"/>
                  <w:divBdr>
                    <w:top w:val="single" w:sz="2" w:space="0" w:color="E3E3E3"/>
                    <w:left w:val="single" w:sz="2" w:space="0" w:color="E3E3E3"/>
                    <w:bottom w:val="single" w:sz="2" w:space="0" w:color="E3E3E3"/>
                    <w:right w:val="single" w:sz="2" w:space="0" w:color="E3E3E3"/>
                  </w:divBdr>
                  <w:divsChild>
                    <w:div w:id="1399286628">
                      <w:marLeft w:val="0"/>
                      <w:marRight w:val="0"/>
                      <w:marTop w:val="0"/>
                      <w:marBottom w:val="0"/>
                      <w:divBdr>
                        <w:top w:val="single" w:sz="2" w:space="0" w:color="E3E3E3"/>
                        <w:left w:val="single" w:sz="2" w:space="0" w:color="E3E3E3"/>
                        <w:bottom w:val="single" w:sz="2" w:space="0" w:color="E3E3E3"/>
                        <w:right w:val="single" w:sz="2" w:space="0" w:color="E3E3E3"/>
                      </w:divBdr>
                      <w:divsChild>
                        <w:div w:id="1007564636">
                          <w:marLeft w:val="0"/>
                          <w:marRight w:val="0"/>
                          <w:marTop w:val="0"/>
                          <w:marBottom w:val="0"/>
                          <w:divBdr>
                            <w:top w:val="single" w:sz="2" w:space="0" w:color="E3E3E3"/>
                            <w:left w:val="single" w:sz="2" w:space="0" w:color="E3E3E3"/>
                            <w:bottom w:val="single" w:sz="2" w:space="0" w:color="E3E3E3"/>
                            <w:right w:val="single" w:sz="2" w:space="0" w:color="E3E3E3"/>
                          </w:divBdr>
                          <w:divsChild>
                            <w:div w:id="542133402">
                              <w:marLeft w:val="0"/>
                              <w:marRight w:val="0"/>
                              <w:marTop w:val="0"/>
                              <w:marBottom w:val="0"/>
                              <w:divBdr>
                                <w:top w:val="single" w:sz="2" w:space="0" w:color="E3E3E3"/>
                                <w:left w:val="single" w:sz="2" w:space="0" w:color="E3E3E3"/>
                                <w:bottom w:val="single" w:sz="2" w:space="0" w:color="E3E3E3"/>
                                <w:right w:val="single" w:sz="2" w:space="0" w:color="E3E3E3"/>
                              </w:divBdr>
                              <w:divsChild>
                                <w:div w:id="478956583">
                                  <w:marLeft w:val="0"/>
                                  <w:marRight w:val="0"/>
                                  <w:marTop w:val="100"/>
                                  <w:marBottom w:val="100"/>
                                  <w:divBdr>
                                    <w:top w:val="single" w:sz="2" w:space="0" w:color="E3E3E3"/>
                                    <w:left w:val="single" w:sz="2" w:space="0" w:color="E3E3E3"/>
                                    <w:bottom w:val="single" w:sz="2" w:space="0" w:color="E3E3E3"/>
                                    <w:right w:val="single" w:sz="2" w:space="0" w:color="E3E3E3"/>
                                  </w:divBdr>
                                  <w:divsChild>
                                    <w:div w:id="806506829">
                                      <w:marLeft w:val="0"/>
                                      <w:marRight w:val="0"/>
                                      <w:marTop w:val="0"/>
                                      <w:marBottom w:val="0"/>
                                      <w:divBdr>
                                        <w:top w:val="single" w:sz="2" w:space="0" w:color="E3E3E3"/>
                                        <w:left w:val="single" w:sz="2" w:space="0" w:color="E3E3E3"/>
                                        <w:bottom w:val="single" w:sz="2" w:space="0" w:color="E3E3E3"/>
                                        <w:right w:val="single" w:sz="2" w:space="0" w:color="E3E3E3"/>
                                      </w:divBdr>
                                      <w:divsChild>
                                        <w:div w:id="704521203">
                                          <w:marLeft w:val="0"/>
                                          <w:marRight w:val="0"/>
                                          <w:marTop w:val="0"/>
                                          <w:marBottom w:val="0"/>
                                          <w:divBdr>
                                            <w:top w:val="single" w:sz="2" w:space="0" w:color="E3E3E3"/>
                                            <w:left w:val="single" w:sz="2" w:space="0" w:color="E3E3E3"/>
                                            <w:bottom w:val="single" w:sz="2" w:space="0" w:color="E3E3E3"/>
                                            <w:right w:val="single" w:sz="2" w:space="0" w:color="E3E3E3"/>
                                          </w:divBdr>
                                          <w:divsChild>
                                            <w:div w:id="663439850">
                                              <w:marLeft w:val="0"/>
                                              <w:marRight w:val="0"/>
                                              <w:marTop w:val="0"/>
                                              <w:marBottom w:val="0"/>
                                              <w:divBdr>
                                                <w:top w:val="single" w:sz="2" w:space="0" w:color="E3E3E3"/>
                                                <w:left w:val="single" w:sz="2" w:space="0" w:color="E3E3E3"/>
                                                <w:bottom w:val="single" w:sz="2" w:space="0" w:color="E3E3E3"/>
                                                <w:right w:val="single" w:sz="2" w:space="0" w:color="E3E3E3"/>
                                              </w:divBdr>
                                              <w:divsChild>
                                                <w:div w:id="335428830">
                                                  <w:marLeft w:val="0"/>
                                                  <w:marRight w:val="0"/>
                                                  <w:marTop w:val="0"/>
                                                  <w:marBottom w:val="0"/>
                                                  <w:divBdr>
                                                    <w:top w:val="single" w:sz="2" w:space="0" w:color="E3E3E3"/>
                                                    <w:left w:val="single" w:sz="2" w:space="0" w:color="E3E3E3"/>
                                                    <w:bottom w:val="single" w:sz="2" w:space="0" w:color="E3E3E3"/>
                                                    <w:right w:val="single" w:sz="2" w:space="0" w:color="E3E3E3"/>
                                                  </w:divBdr>
                                                  <w:divsChild>
                                                    <w:div w:id="1869249372">
                                                      <w:marLeft w:val="0"/>
                                                      <w:marRight w:val="0"/>
                                                      <w:marTop w:val="0"/>
                                                      <w:marBottom w:val="0"/>
                                                      <w:divBdr>
                                                        <w:top w:val="single" w:sz="2" w:space="0" w:color="E3E3E3"/>
                                                        <w:left w:val="single" w:sz="2" w:space="0" w:color="E3E3E3"/>
                                                        <w:bottom w:val="single" w:sz="2" w:space="0" w:color="E3E3E3"/>
                                                        <w:right w:val="single" w:sz="2" w:space="0" w:color="E3E3E3"/>
                                                      </w:divBdr>
                                                      <w:divsChild>
                                                        <w:div w:id="156128579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579631952">
      <w:bodyDiv w:val="1"/>
      <w:marLeft w:val="0"/>
      <w:marRight w:val="0"/>
      <w:marTop w:val="0"/>
      <w:marBottom w:val="0"/>
      <w:divBdr>
        <w:top w:val="none" w:sz="0" w:space="0" w:color="auto"/>
        <w:left w:val="none" w:sz="0" w:space="0" w:color="auto"/>
        <w:bottom w:val="none" w:sz="0" w:space="0" w:color="auto"/>
        <w:right w:val="none" w:sz="0" w:space="0" w:color="auto"/>
      </w:divBdr>
    </w:div>
    <w:div w:id="596136710">
      <w:bodyDiv w:val="1"/>
      <w:marLeft w:val="0"/>
      <w:marRight w:val="0"/>
      <w:marTop w:val="0"/>
      <w:marBottom w:val="0"/>
      <w:divBdr>
        <w:top w:val="none" w:sz="0" w:space="0" w:color="auto"/>
        <w:left w:val="none" w:sz="0" w:space="0" w:color="auto"/>
        <w:bottom w:val="none" w:sz="0" w:space="0" w:color="auto"/>
        <w:right w:val="none" w:sz="0" w:space="0" w:color="auto"/>
      </w:divBdr>
    </w:div>
    <w:div w:id="633604974">
      <w:bodyDiv w:val="1"/>
      <w:marLeft w:val="0"/>
      <w:marRight w:val="0"/>
      <w:marTop w:val="0"/>
      <w:marBottom w:val="0"/>
      <w:divBdr>
        <w:top w:val="none" w:sz="0" w:space="0" w:color="auto"/>
        <w:left w:val="none" w:sz="0" w:space="0" w:color="auto"/>
        <w:bottom w:val="none" w:sz="0" w:space="0" w:color="auto"/>
        <w:right w:val="none" w:sz="0" w:space="0" w:color="auto"/>
      </w:divBdr>
    </w:div>
    <w:div w:id="653026545">
      <w:bodyDiv w:val="1"/>
      <w:marLeft w:val="0"/>
      <w:marRight w:val="0"/>
      <w:marTop w:val="0"/>
      <w:marBottom w:val="0"/>
      <w:divBdr>
        <w:top w:val="none" w:sz="0" w:space="0" w:color="auto"/>
        <w:left w:val="none" w:sz="0" w:space="0" w:color="auto"/>
        <w:bottom w:val="none" w:sz="0" w:space="0" w:color="auto"/>
        <w:right w:val="none" w:sz="0" w:space="0" w:color="auto"/>
      </w:divBdr>
    </w:div>
    <w:div w:id="668216189">
      <w:bodyDiv w:val="1"/>
      <w:marLeft w:val="0"/>
      <w:marRight w:val="0"/>
      <w:marTop w:val="0"/>
      <w:marBottom w:val="0"/>
      <w:divBdr>
        <w:top w:val="none" w:sz="0" w:space="0" w:color="auto"/>
        <w:left w:val="none" w:sz="0" w:space="0" w:color="auto"/>
        <w:bottom w:val="none" w:sz="0" w:space="0" w:color="auto"/>
        <w:right w:val="none" w:sz="0" w:space="0" w:color="auto"/>
      </w:divBdr>
    </w:div>
    <w:div w:id="699890511">
      <w:bodyDiv w:val="1"/>
      <w:marLeft w:val="0"/>
      <w:marRight w:val="0"/>
      <w:marTop w:val="0"/>
      <w:marBottom w:val="0"/>
      <w:divBdr>
        <w:top w:val="none" w:sz="0" w:space="0" w:color="auto"/>
        <w:left w:val="none" w:sz="0" w:space="0" w:color="auto"/>
        <w:bottom w:val="none" w:sz="0" w:space="0" w:color="auto"/>
        <w:right w:val="none" w:sz="0" w:space="0" w:color="auto"/>
      </w:divBdr>
    </w:div>
    <w:div w:id="708649877">
      <w:bodyDiv w:val="1"/>
      <w:marLeft w:val="0"/>
      <w:marRight w:val="0"/>
      <w:marTop w:val="0"/>
      <w:marBottom w:val="0"/>
      <w:divBdr>
        <w:top w:val="none" w:sz="0" w:space="0" w:color="auto"/>
        <w:left w:val="none" w:sz="0" w:space="0" w:color="auto"/>
        <w:bottom w:val="none" w:sz="0" w:space="0" w:color="auto"/>
        <w:right w:val="none" w:sz="0" w:space="0" w:color="auto"/>
      </w:divBdr>
      <w:divsChild>
        <w:div w:id="234972709">
          <w:marLeft w:val="0"/>
          <w:marRight w:val="0"/>
          <w:marTop w:val="0"/>
          <w:marBottom w:val="0"/>
          <w:divBdr>
            <w:top w:val="single" w:sz="2" w:space="0" w:color="E3E3E3"/>
            <w:left w:val="single" w:sz="2" w:space="0" w:color="E3E3E3"/>
            <w:bottom w:val="single" w:sz="2" w:space="0" w:color="E3E3E3"/>
            <w:right w:val="single" w:sz="2" w:space="0" w:color="E3E3E3"/>
          </w:divBdr>
          <w:divsChild>
            <w:div w:id="1108962419">
              <w:marLeft w:val="0"/>
              <w:marRight w:val="0"/>
              <w:marTop w:val="0"/>
              <w:marBottom w:val="0"/>
              <w:divBdr>
                <w:top w:val="single" w:sz="2" w:space="0" w:color="E3E3E3"/>
                <w:left w:val="single" w:sz="2" w:space="0" w:color="E3E3E3"/>
                <w:bottom w:val="single" w:sz="2" w:space="0" w:color="E3E3E3"/>
                <w:right w:val="single" w:sz="2" w:space="0" w:color="E3E3E3"/>
              </w:divBdr>
              <w:divsChild>
                <w:div w:id="139344024">
                  <w:marLeft w:val="0"/>
                  <w:marRight w:val="0"/>
                  <w:marTop w:val="0"/>
                  <w:marBottom w:val="0"/>
                  <w:divBdr>
                    <w:top w:val="single" w:sz="2" w:space="0" w:color="E3E3E3"/>
                    <w:left w:val="single" w:sz="2" w:space="0" w:color="E3E3E3"/>
                    <w:bottom w:val="single" w:sz="2" w:space="0" w:color="E3E3E3"/>
                    <w:right w:val="single" w:sz="2" w:space="0" w:color="E3E3E3"/>
                  </w:divBdr>
                  <w:divsChild>
                    <w:div w:id="656806233">
                      <w:marLeft w:val="0"/>
                      <w:marRight w:val="0"/>
                      <w:marTop w:val="0"/>
                      <w:marBottom w:val="0"/>
                      <w:divBdr>
                        <w:top w:val="single" w:sz="2" w:space="0" w:color="E3E3E3"/>
                        <w:left w:val="single" w:sz="2" w:space="0" w:color="E3E3E3"/>
                        <w:bottom w:val="single" w:sz="2" w:space="0" w:color="E3E3E3"/>
                        <w:right w:val="single" w:sz="2" w:space="0" w:color="E3E3E3"/>
                      </w:divBdr>
                      <w:divsChild>
                        <w:div w:id="1106924591">
                          <w:marLeft w:val="0"/>
                          <w:marRight w:val="0"/>
                          <w:marTop w:val="0"/>
                          <w:marBottom w:val="0"/>
                          <w:divBdr>
                            <w:top w:val="single" w:sz="2" w:space="0" w:color="E3E3E3"/>
                            <w:left w:val="single" w:sz="2" w:space="0" w:color="E3E3E3"/>
                            <w:bottom w:val="single" w:sz="2" w:space="0" w:color="E3E3E3"/>
                            <w:right w:val="single" w:sz="2" w:space="0" w:color="E3E3E3"/>
                          </w:divBdr>
                          <w:divsChild>
                            <w:div w:id="1793135339">
                              <w:marLeft w:val="0"/>
                              <w:marRight w:val="0"/>
                              <w:marTop w:val="0"/>
                              <w:marBottom w:val="0"/>
                              <w:divBdr>
                                <w:top w:val="single" w:sz="2" w:space="0" w:color="E3E3E3"/>
                                <w:left w:val="single" w:sz="2" w:space="0" w:color="E3E3E3"/>
                                <w:bottom w:val="single" w:sz="2" w:space="0" w:color="E3E3E3"/>
                                <w:right w:val="single" w:sz="2" w:space="0" w:color="E3E3E3"/>
                              </w:divBdr>
                              <w:divsChild>
                                <w:div w:id="882182067">
                                  <w:marLeft w:val="0"/>
                                  <w:marRight w:val="0"/>
                                  <w:marTop w:val="100"/>
                                  <w:marBottom w:val="100"/>
                                  <w:divBdr>
                                    <w:top w:val="single" w:sz="2" w:space="0" w:color="E3E3E3"/>
                                    <w:left w:val="single" w:sz="2" w:space="0" w:color="E3E3E3"/>
                                    <w:bottom w:val="single" w:sz="2" w:space="0" w:color="E3E3E3"/>
                                    <w:right w:val="single" w:sz="2" w:space="0" w:color="E3E3E3"/>
                                  </w:divBdr>
                                  <w:divsChild>
                                    <w:div w:id="1838032736">
                                      <w:marLeft w:val="0"/>
                                      <w:marRight w:val="0"/>
                                      <w:marTop w:val="0"/>
                                      <w:marBottom w:val="0"/>
                                      <w:divBdr>
                                        <w:top w:val="single" w:sz="2" w:space="0" w:color="E3E3E3"/>
                                        <w:left w:val="single" w:sz="2" w:space="0" w:color="E3E3E3"/>
                                        <w:bottom w:val="single" w:sz="2" w:space="0" w:color="E3E3E3"/>
                                        <w:right w:val="single" w:sz="2" w:space="0" w:color="E3E3E3"/>
                                      </w:divBdr>
                                      <w:divsChild>
                                        <w:div w:id="1191139257">
                                          <w:marLeft w:val="0"/>
                                          <w:marRight w:val="0"/>
                                          <w:marTop w:val="0"/>
                                          <w:marBottom w:val="0"/>
                                          <w:divBdr>
                                            <w:top w:val="single" w:sz="2" w:space="0" w:color="E3E3E3"/>
                                            <w:left w:val="single" w:sz="2" w:space="0" w:color="E3E3E3"/>
                                            <w:bottom w:val="single" w:sz="2" w:space="0" w:color="E3E3E3"/>
                                            <w:right w:val="single" w:sz="2" w:space="0" w:color="E3E3E3"/>
                                          </w:divBdr>
                                          <w:divsChild>
                                            <w:div w:id="1806922775">
                                              <w:marLeft w:val="0"/>
                                              <w:marRight w:val="0"/>
                                              <w:marTop w:val="0"/>
                                              <w:marBottom w:val="0"/>
                                              <w:divBdr>
                                                <w:top w:val="single" w:sz="2" w:space="0" w:color="E3E3E3"/>
                                                <w:left w:val="single" w:sz="2" w:space="0" w:color="E3E3E3"/>
                                                <w:bottom w:val="single" w:sz="2" w:space="0" w:color="E3E3E3"/>
                                                <w:right w:val="single" w:sz="2" w:space="0" w:color="E3E3E3"/>
                                              </w:divBdr>
                                              <w:divsChild>
                                                <w:div w:id="1176185571">
                                                  <w:marLeft w:val="0"/>
                                                  <w:marRight w:val="0"/>
                                                  <w:marTop w:val="0"/>
                                                  <w:marBottom w:val="0"/>
                                                  <w:divBdr>
                                                    <w:top w:val="single" w:sz="2" w:space="0" w:color="E3E3E3"/>
                                                    <w:left w:val="single" w:sz="2" w:space="0" w:color="E3E3E3"/>
                                                    <w:bottom w:val="single" w:sz="2" w:space="0" w:color="E3E3E3"/>
                                                    <w:right w:val="single" w:sz="2" w:space="0" w:color="E3E3E3"/>
                                                  </w:divBdr>
                                                  <w:divsChild>
                                                    <w:div w:id="1326592182">
                                                      <w:marLeft w:val="0"/>
                                                      <w:marRight w:val="0"/>
                                                      <w:marTop w:val="0"/>
                                                      <w:marBottom w:val="0"/>
                                                      <w:divBdr>
                                                        <w:top w:val="single" w:sz="2" w:space="0" w:color="E3E3E3"/>
                                                        <w:left w:val="single" w:sz="2" w:space="0" w:color="E3E3E3"/>
                                                        <w:bottom w:val="single" w:sz="2" w:space="0" w:color="E3E3E3"/>
                                                        <w:right w:val="single" w:sz="2" w:space="0" w:color="E3E3E3"/>
                                                      </w:divBdr>
                                                      <w:divsChild>
                                                        <w:div w:id="395975070">
                                                          <w:marLeft w:val="0"/>
                                                          <w:marRight w:val="0"/>
                                                          <w:marTop w:val="0"/>
                                                          <w:marBottom w:val="0"/>
                                                          <w:divBdr>
                                                            <w:top w:val="single" w:sz="2" w:space="2" w:color="E3E3E3"/>
                                                            <w:left w:val="single" w:sz="2" w:space="0" w:color="E3E3E3"/>
                                                            <w:bottom w:val="single" w:sz="2" w:space="0" w:color="E3E3E3"/>
                                                            <w:right w:val="single" w:sz="2" w:space="0" w:color="E3E3E3"/>
                                                          </w:divBdr>
                                                          <w:divsChild>
                                                            <w:div w:id="195824584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883785184">
          <w:marLeft w:val="0"/>
          <w:marRight w:val="0"/>
          <w:marTop w:val="0"/>
          <w:marBottom w:val="0"/>
          <w:divBdr>
            <w:top w:val="none" w:sz="0" w:space="0" w:color="auto"/>
            <w:left w:val="none" w:sz="0" w:space="0" w:color="auto"/>
            <w:bottom w:val="none" w:sz="0" w:space="0" w:color="auto"/>
            <w:right w:val="none" w:sz="0" w:space="0" w:color="auto"/>
          </w:divBdr>
          <w:divsChild>
            <w:div w:id="2025552652">
              <w:marLeft w:val="0"/>
              <w:marRight w:val="0"/>
              <w:marTop w:val="100"/>
              <w:marBottom w:val="100"/>
              <w:divBdr>
                <w:top w:val="single" w:sz="2" w:space="0" w:color="E3E3E3"/>
                <w:left w:val="single" w:sz="2" w:space="0" w:color="E3E3E3"/>
                <w:bottom w:val="single" w:sz="2" w:space="0" w:color="E3E3E3"/>
                <w:right w:val="single" w:sz="2" w:space="0" w:color="E3E3E3"/>
              </w:divBdr>
              <w:divsChild>
                <w:div w:id="5263299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769816117">
      <w:bodyDiv w:val="1"/>
      <w:marLeft w:val="0"/>
      <w:marRight w:val="0"/>
      <w:marTop w:val="0"/>
      <w:marBottom w:val="0"/>
      <w:divBdr>
        <w:top w:val="none" w:sz="0" w:space="0" w:color="auto"/>
        <w:left w:val="none" w:sz="0" w:space="0" w:color="auto"/>
        <w:bottom w:val="none" w:sz="0" w:space="0" w:color="auto"/>
        <w:right w:val="none" w:sz="0" w:space="0" w:color="auto"/>
      </w:divBdr>
    </w:div>
    <w:div w:id="849952126">
      <w:bodyDiv w:val="1"/>
      <w:marLeft w:val="0"/>
      <w:marRight w:val="0"/>
      <w:marTop w:val="0"/>
      <w:marBottom w:val="0"/>
      <w:divBdr>
        <w:top w:val="none" w:sz="0" w:space="0" w:color="auto"/>
        <w:left w:val="none" w:sz="0" w:space="0" w:color="auto"/>
        <w:bottom w:val="none" w:sz="0" w:space="0" w:color="auto"/>
        <w:right w:val="none" w:sz="0" w:space="0" w:color="auto"/>
      </w:divBdr>
    </w:div>
    <w:div w:id="897013222">
      <w:bodyDiv w:val="1"/>
      <w:marLeft w:val="0"/>
      <w:marRight w:val="0"/>
      <w:marTop w:val="0"/>
      <w:marBottom w:val="0"/>
      <w:divBdr>
        <w:top w:val="none" w:sz="0" w:space="0" w:color="auto"/>
        <w:left w:val="none" w:sz="0" w:space="0" w:color="auto"/>
        <w:bottom w:val="none" w:sz="0" w:space="0" w:color="auto"/>
        <w:right w:val="none" w:sz="0" w:space="0" w:color="auto"/>
      </w:divBdr>
    </w:div>
    <w:div w:id="898634517">
      <w:bodyDiv w:val="1"/>
      <w:marLeft w:val="0"/>
      <w:marRight w:val="0"/>
      <w:marTop w:val="0"/>
      <w:marBottom w:val="0"/>
      <w:divBdr>
        <w:top w:val="none" w:sz="0" w:space="0" w:color="auto"/>
        <w:left w:val="none" w:sz="0" w:space="0" w:color="auto"/>
        <w:bottom w:val="none" w:sz="0" w:space="0" w:color="auto"/>
        <w:right w:val="none" w:sz="0" w:space="0" w:color="auto"/>
      </w:divBdr>
    </w:div>
    <w:div w:id="927349438">
      <w:bodyDiv w:val="1"/>
      <w:marLeft w:val="0"/>
      <w:marRight w:val="0"/>
      <w:marTop w:val="0"/>
      <w:marBottom w:val="0"/>
      <w:divBdr>
        <w:top w:val="none" w:sz="0" w:space="0" w:color="auto"/>
        <w:left w:val="none" w:sz="0" w:space="0" w:color="auto"/>
        <w:bottom w:val="none" w:sz="0" w:space="0" w:color="auto"/>
        <w:right w:val="none" w:sz="0" w:space="0" w:color="auto"/>
      </w:divBdr>
    </w:div>
    <w:div w:id="972952301">
      <w:bodyDiv w:val="1"/>
      <w:marLeft w:val="0"/>
      <w:marRight w:val="0"/>
      <w:marTop w:val="0"/>
      <w:marBottom w:val="0"/>
      <w:divBdr>
        <w:top w:val="none" w:sz="0" w:space="0" w:color="auto"/>
        <w:left w:val="none" w:sz="0" w:space="0" w:color="auto"/>
        <w:bottom w:val="none" w:sz="0" w:space="0" w:color="auto"/>
        <w:right w:val="none" w:sz="0" w:space="0" w:color="auto"/>
      </w:divBdr>
    </w:div>
    <w:div w:id="975720321">
      <w:bodyDiv w:val="1"/>
      <w:marLeft w:val="0"/>
      <w:marRight w:val="0"/>
      <w:marTop w:val="0"/>
      <w:marBottom w:val="0"/>
      <w:divBdr>
        <w:top w:val="none" w:sz="0" w:space="0" w:color="auto"/>
        <w:left w:val="none" w:sz="0" w:space="0" w:color="auto"/>
        <w:bottom w:val="none" w:sz="0" w:space="0" w:color="auto"/>
        <w:right w:val="none" w:sz="0" w:space="0" w:color="auto"/>
      </w:divBdr>
    </w:div>
    <w:div w:id="998115654">
      <w:bodyDiv w:val="1"/>
      <w:marLeft w:val="0"/>
      <w:marRight w:val="0"/>
      <w:marTop w:val="0"/>
      <w:marBottom w:val="0"/>
      <w:divBdr>
        <w:top w:val="none" w:sz="0" w:space="0" w:color="auto"/>
        <w:left w:val="none" w:sz="0" w:space="0" w:color="auto"/>
        <w:bottom w:val="none" w:sz="0" w:space="0" w:color="auto"/>
        <w:right w:val="none" w:sz="0" w:space="0" w:color="auto"/>
      </w:divBdr>
    </w:div>
    <w:div w:id="1034648727">
      <w:bodyDiv w:val="1"/>
      <w:marLeft w:val="0"/>
      <w:marRight w:val="0"/>
      <w:marTop w:val="0"/>
      <w:marBottom w:val="0"/>
      <w:divBdr>
        <w:top w:val="none" w:sz="0" w:space="0" w:color="auto"/>
        <w:left w:val="none" w:sz="0" w:space="0" w:color="auto"/>
        <w:bottom w:val="none" w:sz="0" w:space="0" w:color="auto"/>
        <w:right w:val="none" w:sz="0" w:space="0" w:color="auto"/>
      </w:divBdr>
    </w:div>
    <w:div w:id="1036396250">
      <w:bodyDiv w:val="1"/>
      <w:marLeft w:val="0"/>
      <w:marRight w:val="0"/>
      <w:marTop w:val="0"/>
      <w:marBottom w:val="0"/>
      <w:divBdr>
        <w:top w:val="none" w:sz="0" w:space="0" w:color="auto"/>
        <w:left w:val="none" w:sz="0" w:space="0" w:color="auto"/>
        <w:bottom w:val="none" w:sz="0" w:space="0" w:color="auto"/>
        <w:right w:val="none" w:sz="0" w:space="0" w:color="auto"/>
      </w:divBdr>
    </w:div>
    <w:div w:id="1045565441">
      <w:bodyDiv w:val="1"/>
      <w:marLeft w:val="0"/>
      <w:marRight w:val="0"/>
      <w:marTop w:val="0"/>
      <w:marBottom w:val="0"/>
      <w:divBdr>
        <w:top w:val="none" w:sz="0" w:space="0" w:color="auto"/>
        <w:left w:val="none" w:sz="0" w:space="0" w:color="auto"/>
        <w:bottom w:val="none" w:sz="0" w:space="0" w:color="auto"/>
        <w:right w:val="none" w:sz="0" w:space="0" w:color="auto"/>
      </w:divBdr>
    </w:div>
    <w:div w:id="1149856721">
      <w:bodyDiv w:val="1"/>
      <w:marLeft w:val="0"/>
      <w:marRight w:val="0"/>
      <w:marTop w:val="0"/>
      <w:marBottom w:val="0"/>
      <w:divBdr>
        <w:top w:val="none" w:sz="0" w:space="0" w:color="auto"/>
        <w:left w:val="none" w:sz="0" w:space="0" w:color="auto"/>
        <w:bottom w:val="none" w:sz="0" w:space="0" w:color="auto"/>
        <w:right w:val="none" w:sz="0" w:space="0" w:color="auto"/>
      </w:divBdr>
    </w:div>
    <w:div w:id="1210067652">
      <w:bodyDiv w:val="1"/>
      <w:marLeft w:val="0"/>
      <w:marRight w:val="0"/>
      <w:marTop w:val="0"/>
      <w:marBottom w:val="0"/>
      <w:divBdr>
        <w:top w:val="none" w:sz="0" w:space="0" w:color="auto"/>
        <w:left w:val="none" w:sz="0" w:space="0" w:color="auto"/>
        <w:bottom w:val="none" w:sz="0" w:space="0" w:color="auto"/>
        <w:right w:val="none" w:sz="0" w:space="0" w:color="auto"/>
      </w:divBdr>
    </w:div>
    <w:div w:id="1222984706">
      <w:bodyDiv w:val="1"/>
      <w:marLeft w:val="0"/>
      <w:marRight w:val="0"/>
      <w:marTop w:val="0"/>
      <w:marBottom w:val="0"/>
      <w:divBdr>
        <w:top w:val="none" w:sz="0" w:space="0" w:color="auto"/>
        <w:left w:val="none" w:sz="0" w:space="0" w:color="auto"/>
        <w:bottom w:val="none" w:sz="0" w:space="0" w:color="auto"/>
        <w:right w:val="none" w:sz="0" w:space="0" w:color="auto"/>
      </w:divBdr>
    </w:div>
    <w:div w:id="1229002000">
      <w:bodyDiv w:val="1"/>
      <w:marLeft w:val="0"/>
      <w:marRight w:val="0"/>
      <w:marTop w:val="0"/>
      <w:marBottom w:val="0"/>
      <w:divBdr>
        <w:top w:val="none" w:sz="0" w:space="0" w:color="auto"/>
        <w:left w:val="none" w:sz="0" w:space="0" w:color="auto"/>
        <w:bottom w:val="none" w:sz="0" w:space="0" w:color="auto"/>
        <w:right w:val="none" w:sz="0" w:space="0" w:color="auto"/>
      </w:divBdr>
    </w:div>
    <w:div w:id="1254585260">
      <w:bodyDiv w:val="1"/>
      <w:marLeft w:val="0"/>
      <w:marRight w:val="0"/>
      <w:marTop w:val="0"/>
      <w:marBottom w:val="0"/>
      <w:divBdr>
        <w:top w:val="none" w:sz="0" w:space="0" w:color="auto"/>
        <w:left w:val="none" w:sz="0" w:space="0" w:color="auto"/>
        <w:bottom w:val="none" w:sz="0" w:space="0" w:color="auto"/>
        <w:right w:val="none" w:sz="0" w:space="0" w:color="auto"/>
      </w:divBdr>
    </w:div>
    <w:div w:id="1282229568">
      <w:bodyDiv w:val="1"/>
      <w:marLeft w:val="0"/>
      <w:marRight w:val="0"/>
      <w:marTop w:val="0"/>
      <w:marBottom w:val="0"/>
      <w:divBdr>
        <w:top w:val="none" w:sz="0" w:space="0" w:color="auto"/>
        <w:left w:val="none" w:sz="0" w:space="0" w:color="auto"/>
        <w:bottom w:val="none" w:sz="0" w:space="0" w:color="auto"/>
        <w:right w:val="none" w:sz="0" w:space="0" w:color="auto"/>
      </w:divBdr>
    </w:div>
    <w:div w:id="1340276951">
      <w:bodyDiv w:val="1"/>
      <w:marLeft w:val="0"/>
      <w:marRight w:val="0"/>
      <w:marTop w:val="0"/>
      <w:marBottom w:val="0"/>
      <w:divBdr>
        <w:top w:val="none" w:sz="0" w:space="0" w:color="auto"/>
        <w:left w:val="none" w:sz="0" w:space="0" w:color="auto"/>
        <w:bottom w:val="none" w:sz="0" w:space="0" w:color="auto"/>
        <w:right w:val="none" w:sz="0" w:space="0" w:color="auto"/>
      </w:divBdr>
    </w:div>
    <w:div w:id="1342657553">
      <w:bodyDiv w:val="1"/>
      <w:marLeft w:val="0"/>
      <w:marRight w:val="0"/>
      <w:marTop w:val="0"/>
      <w:marBottom w:val="0"/>
      <w:divBdr>
        <w:top w:val="none" w:sz="0" w:space="0" w:color="auto"/>
        <w:left w:val="none" w:sz="0" w:space="0" w:color="auto"/>
        <w:bottom w:val="none" w:sz="0" w:space="0" w:color="auto"/>
        <w:right w:val="none" w:sz="0" w:space="0" w:color="auto"/>
      </w:divBdr>
    </w:div>
    <w:div w:id="1380088325">
      <w:bodyDiv w:val="1"/>
      <w:marLeft w:val="0"/>
      <w:marRight w:val="0"/>
      <w:marTop w:val="0"/>
      <w:marBottom w:val="0"/>
      <w:divBdr>
        <w:top w:val="none" w:sz="0" w:space="0" w:color="auto"/>
        <w:left w:val="none" w:sz="0" w:space="0" w:color="auto"/>
        <w:bottom w:val="none" w:sz="0" w:space="0" w:color="auto"/>
        <w:right w:val="none" w:sz="0" w:space="0" w:color="auto"/>
      </w:divBdr>
    </w:div>
    <w:div w:id="1383676993">
      <w:bodyDiv w:val="1"/>
      <w:marLeft w:val="0"/>
      <w:marRight w:val="0"/>
      <w:marTop w:val="0"/>
      <w:marBottom w:val="0"/>
      <w:divBdr>
        <w:top w:val="none" w:sz="0" w:space="0" w:color="auto"/>
        <w:left w:val="none" w:sz="0" w:space="0" w:color="auto"/>
        <w:bottom w:val="none" w:sz="0" w:space="0" w:color="auto"/>
        <w:right w:val="none" w:sz="0" w:space="0" w:color="auto"/>
      </w:divBdr>
    </w:div>
    <w:div w:id="1384673740">
      <w:bodyDiv w:val="1"/>
      <w:marLeft w:val="0"/>
      <w:marRight w:val="0"/>
      <w:marTop w:val="0"/>
      <w:marBottom w:val="0"/>
      <w:divBdr>
        <w:top w:val="none" w:sz="0" w:space="0" w:color="auto"/>
        <w:left w:val="none" w:sz="0" w:space="0" w:color="auto"/>
        <w:bottom w:val="none" w:sz="0" w:space="0" w:color="auto"/>
        <w:right w:val="none" w:sz="0" w:space="0" w:color="auto"/>
      </w:divBdr>
    </w:div>
    <w:div w:id="1405645853">
      <w:bodyDiv w:val="1"/>
      <w:marLeft w:val="0"/>
      <w:marRight w:val="0"/>
      <w:marTop w:val="0"/>
      <w:marBottom w:val="0"/>
      <w:divBdr>
        <w:top w:val="none" w:sz="0" w:space="0" w:color="auto"/>
        <w:left w:val="none" w:sz="0" w:space="0" w:color="auto"/>
        <w:bottom w:val="none" w:sz="0" w:space="0" w:color="auto"/>
        <w:right w:val="none" w:sz="0" w:space="0" w:color="auto"/>
      </w:divBdr>
    </w:div>
    <w:div w:id="1436095849">
      <w:bodyDiv w:val="1"/>
      <w:marLeft w:val="0"/>
      <w:marRight w:val="0"/>
      <w:marTop w:val="0"/>
      <w:marBottom w:val="0"/>
      <w:divBdr>
        <w:top w:val="none" w:sz="0" w:space="0" w:color="auto"/>
        <w:left w:val="none" w:sz="0" w:space="0" w:color="auto"/>
        <w:bottom w:val="none" w:sz="0" w:space="0" w:color="auto"/>
        <w:right w:val="none" w:sz="0" w:space="0" w:color="auto"/>
      </w:divBdr>
    </w:div>
    <w:div w:id="1446268037">
      <w:bodyDiv w:val="1"/>
      <w:marLeft w:val="0"/>
      <w:marRight w:val="0"/>
      <w:marTop w:val="0"/>
      <w:marBottom w:val="0"/>
      <w:divBdr>
        <w:top w:val="none" w:sz="0" w:space="0" w:color="auto"/>
        <w:left w:val="none" w:sz="0" w:space="0" w:color="auto"/>
        <w:bottom w:val="none" w:sz="0" w:space="0" w:color="auto"/>
        <w:right w:val="none" w:sz="0" w:space="0" w:color="auto"/>
      </w:divBdr>
    </w:div>
    <w:div w:id="1471557308">
      <w:bodyDiv w:val="1"/>
      <w:marLeft w:val="0"/>
      <w:marRight w:val="0"/>
      <w:marTop w:val="0"/>
      <w:marBottom w:val="0"/>
      <w:divBdr>
        <w:top w:val="none" w:sz="0" w:space="0" w:color="auto"/>
        <w:left w:val="none" w:sz="0" w:space="0" w:color="auto"/>
        <w:bottom w:val="none" w:sz="0" w:space="0" w:color="auto"/>
        <w:right w:val="none" w:sz="0" w:space="0" w:color="auto"/>
      </w:divBdr>
    </w:div>
    <w:div w:id="1486825152">
      <w:bodyDiv w:val="1"/>
      <w:marLeft w:val="0"/>
      <w:marRight w:val="0"/>
      <w:marTop w:val="0"/>
      <w:marBottom w:val="0"/>
      <w:divBdr>
        <w:top w:val="none" w:sz="0" w:space="0" w:color="auto"/>
        <w:left w:val="none" w:sz="0" w:space="0" w:color="auto"/>
        <w:bottom w:val="none" w:sz="0" w:space="0" w:color="auto"/>
        <w:right w:val="none" w:sz="0" w:space="0" w:color="auto"/>
      </w:divBdr>
    </w:div>
    <w:div w:id="1529413865">
      <w:bodyDiv w:val="1"/>
      <w:marLeft w:val="0"/>
      <w:marRight w:val="0"/>
      <w:marTop w:val="0"/>
      <w:marBottom w:val="0"/>
      <w:divBdr>
        <w:top w:val="none" w:sz="0" w:space="0" w:color="auto"/>
        <w:left w:val="none" w:sz="0" w:space="0" w:color="auto"/>
        <w:bottom w:val="none" w:sz="0" w:space="0" w:color="auto"/>
        <w:right w:val="none" w:sz="0" w:space="0" w:color="auto"/>
      </w:divBdr>
    </w:div>
    <w:div w:id="1540359886">
      <w:bodyDiv w:val="1"/>
      <w:marLeft w:val="0"/>
      <w:marRight w:val="0"/>
      <w:marTop w:val="0"/>
      <w:marBottom w:val="0"/>
      <w:divBdr>
        <w:top w:val="none" w:sz="0" w:space="0" w:color="auto"/>
        <w:left w:val="none" w:sz="0" w:space="0" w:color="auto"/>
        <w:bottom w:val="none" w:sz="0" w:space="0" w:color="auto"/>
        <w:right w:val="none" w:sz="0" w:space="0" w:color="auto"/>
      </w:divBdr>
      <w:divsChild>
        <w:div w:id="1739742425">
          <w:marLeft w:val="0"/>
          <w:marRight w:val="0"/>
          <w:marTop w:val="0"/>
          <w:marBottom w:val="0"/>
          <w:divBdr>
            <w:top w:val="single" w:sz="2" w:space="0" w:color="E3E3E3"/>
            <w:left w:val="single" w:sz="2" w:space="0" w:color="E3E3E3"/>
            <w:bottom w:val="single" w:sz="2" w:space="0" w:color="E3E3E3"/>
            <w:right w:val="single" w:sz="2" w:space="0" w:color="E3E3E3"/>
          </w:divBdr>
          <w:divsChild>
            <w:div w:id="853610013">
              <w:marLeft w:val="0"/>
              <w:marRight w:val="0"/>
              <w:marTop w:val="100"/>
              <w:marBottom w:val="100"/>
              <w:divBdr>
                <w:top w:val="single" w:sz="2" w:space="0" w:color="E3E3E3"/>
                <w:left w:val="single" w:sz="2" w:space="0" w:color="E3E3E3"/>
                <w:bottom w:val="single" w:sz="2" w:space="0" w:color="E3E3E3"/>
                <w:right w:val="single" w:sz="2" w:space="0" w:color="E3E3E3"/>
              </w:divBdr>
              <w:divsChild>
                <w:div w:id="1237518718">
                  <w:marLeft w:val="0"/>
                  <w:marRight w:val="0"/>
                  <w:marTop w:val="0"/>
                  <w:marBottom w:val="0"/>
                  <w:divBdr>
                    <w:top w:val="single" w:sz="2" w:space="0" w:color="E3E3E3"/>
                    <w:left w:val="single" w:sz="2" w:space="0" w:color="E3E3E3"/>
                    <w:bottom w:val="single" w:sz="2" w:space="0" w:color="E3E3E3"/>
                    <w:right w:val="single" w:sz="2" w:space="0" w:color="E3E3E3"/>
                  </w:divBdr>
                  <w:divsChild>
                    <w:div w:id="679504982">
                      <w:marLeft w:val="0"/>
                      <w:marRight w:val="0"/>
                      <w:marTop w:val="0"/>
                      <w:marBottom w:val="0"/>
                      <w:divBdr>
                        <w:top w:val="single" w:sz="2" w:space="0" w:color="E3E3E3"/>
                        <w:left w:val="single" w:sz="2" w:space="0" w:color="E3E3E3"/>
                        <w:bottom w:val="single" w:sz="2" w:space="0" w:color="E3E3E3"/>
                        <w:right w:val="single" w:sz="2" w:space="0" w:color="E3E3E3"/>
                      </w:divBdr>
                      <w:divsChild>
                        <w:div w:id="1028485029">
                          <w:marLeft w:val="0"/>
                          <w:marRight w:val="0"/>
                          <w:marTop w:val="0"/>
                          <w:marBottom w:val="0"/>
                          <w:divBdr>
                            <w:top w:val="single" w:sz="2" w:space="0" w:color="E3E3E3"/>
                            <w:left w:val="single" w:sz="2" w:space="0" w:color="E3E3E3"/>
                            <w:bottom w:val="single" w:sz="2" w:space="0" w:color="E3E3E3"/>
                            <w:right w:val="single" w:sz="2" w:space="0" w:color="E3E3E3"/>
                          </w:divBdr>
                          <w:divsChild>
                            <w:div w:id="351536113">
                              <w:marLeft w:val="0"/>
                              <w:marRight w:val="0"/>
                              <w:marTop w:val="0"/>
                              <w:marBottom w:val="0"/>
                              <w:divBdr>
                                <w:top w:val="single" w:sz="2" w:space="0" w:color="E3E3E3"/>
                                <w:left w:val="single" w:sz="2" w:space="0" w:color="E3E3E3"/>
                                <w:bottom w:val="single" w:sz="2" w:space="0" w:color="E3E3E3"/>
                                <w:right w:val="single" w:sz="2" w:space="0" w:color="E3E3E3"/>
                              </w:divBdr>
                              <w:divsChild>
                                <w:div w:id="582227783">
                                  <w:marLeft w:val="0"/>
                                  <w:marRight w:val="0"/>
                                  <w:marTop w:val="0"/>
                                  <w:marBottom w:val="0"/>
                                  <w:divBdr>
                                    <w:top w:val="single" w:sz="2" w:space="0" w:color="E3E3E3"/>
                                    <w:left w:val="single" w:sz="2" w:space="0" w:color="E3E3E3"/>
                                    <w:bottom w:val="single" w:sz="2" w:space="0" w:color="E3E3E3"/>
                                    <w:right w:val="single" w:sz="2" w:space="0" w:color="E3E3E3"/>
                                  </w:divBdr>
                                  <w:divsChild>
                                    <w:div w:id="11834006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563835765">
      <w:bodyDiv w:val="1"/>
      <w:marLeft w:val="0"/>
      <w:marRight w:val="0"/>
      <w:marTop w:val="0"/>
      <w:marBottom w:val="0"/>
      <w:divBdr>
        <w:top w:val="none" w:sz="0" w:space="0" w:color="auto"/>
        <w:left w:val="none" w:sz="0" w:space="0" w:color="auto"/>
        <w:bottom w:val="none" w:sz="0" w:space="0" w:color="auto"/>
        <w:right w:val="none" w:sz="0" w:space="0" w:color="auto"/>
      </w:divBdr>
    </w:div>
    <w:div w:id="1583564325">
      <w:bodyDiv w:val="1"/>
      <w:marLeft w:val="0"/>
      <w:marRight w:val="0"/>
      <w:marTop w:val="0"/>
      <w:marBottom w:val="0"/>
      <w:divBdr>
        <w:top w:val="none" w:sz="0" w:space="0" w:color="auto"/>
        <w:left w:val="none" w:sz="0" w:space="0" w:color="auto"/>
        <w:bottom w:val="none" w:sz="0" w:space="0" w:color="auto"/>
        <w:right w:val="none" w:sz="0" w:space="0" w:color="auto"/>
      </w:divBdr>
    </w:div>
    <w:div w:id="1587835228">
      <w:bodyDiv w:val="1"/>
      <w:marLeft w:val="0"/>
      <w:marRight w:val="0"/>
      <w:marTop w:val="0"/>
      <w:marBottom w:val="0"/>
      <w:divBdr>
        <w:top w:val="none" w:sz="0" w:space="0" w:color="auto"/>
        <w:left w:val="none" w:sz="0" w:space="0" w:color="auto"/>
        <w:bottom w:val="none" w:sz="0" w:space="0" w:color="auto"/>
        <w:right w:val="none" w:sz="0" w:space="0" w:color="auto"/>
      </w:divBdr>
    </w:div>
    <w:div w:id="1605384389">
      <w:bodyDiv w:val="1"/>
      <w:marLeft w:val="0"/>
      <w:marRight w:val="0"/>
      <w:marTop w:val="0"/>
      <w:marBottom w:val="0"/>
      <w:divBdr>
        <w:top w:val="none" w:sz="0" w:space="0" w:color="auto"/>
        <w:left w:val="none" w:sz="0" w:space="0" w:color="auto"/>
        <w:bottom w:val="none" w:sz="0" w:space="0" w:color="auto"/>
        <w:right w:val="none" w:sz="0" w:space="0" w:color="auto"/>
      </w:divBdr>
    </w:div>
    <w:div w:id="1609777057">
      <w:bodyDiv w:val="1"/>
      <w:marLeft w:val="0"/>
      <w:marRight w:val="0"/>
      <w:marTop w:val="0"/>
      <w:marBottom w:val="0"/>
      <w:divBdr>
        <w:top w:val="none" w:sz="0" w:space="0" w:color="auto"/>
        <w:left w:val="none" w:sz="0" w:space="0" w:color="auto"/>
        <w:bottom w:val="none" w:sz="0" w:space="0" w:color="auto"/>
        <w:right w:val="none" w:sz="0" w:space="0" w:color="auto"/>
      </w:divBdr>
    </w:div>
    <w:div w:id="1670522138">
      <w:bodyDiv w:val="1"/>
      <w:marLeft w:val="0"/>
      <w:marRight w:val="0"/>
      <w:marTop w:val="0"/>
      <w:marBottom w:val="0"/>
      <w:divBdr>
        <w:top w:val="none" w:sz="0" w:space="0" w:color="auto"/>
        <w:left w:val="none" w:sz="0" w:space="0" w:color="auto"/>
        <w:bottom w:val="none" w:sz="0" w:space="0" w:color="auto"/>
        <w:right w:val="none" w:sz="0" w:space="0" w:color="auto"/>
      </w:divBdr>
    </w:div>
    <w:div w:id="1680697613">
      <w:bodyDiv w:val="1"/>
      <w:marLeft w:val="0"/>
      <w:marRight w:val="0"/>
      <w:marTop w:val="0"/>
      <w:marBottom w:val="0"/>
      <w:divBdr>
        <w:top w:val="none" w:sz="0" w:space="0" w:color="auto"/>
        <w:left w:val="none" w:sz="0" w:space="0" w:color="auto"/>
        <w:bottom w:val="none" w:sz="0" w:space="0" w:color="auto"/>
        <w:right w:val="none" w:sz="0" w:space="0" w:color="auto"/>
      </w:divBdr>
    </w:div>
    <w:div w:id="1704095143">
      <w:bodyDiv w:val="1"/>
      <w:marLeft w:val="0"/>
      <w:marRight w:val="0"/>
      <w:marTop w:val="0"/>
      <w:marBottom w:val="0"/>
      <w:divBdr>
        <w:top w:val="none" w:sz="0" w:space="0" w:color="auto"/>
        <w:left w:val="none" w:sz="0" w:space="0" w:color="auto"/>
        <w:bottom w:val="none" w:sz="0" w:space="0" w:color="auto"/>
        <w:right w:val="none" w:sz="0" w:space="0" w:color="auto"/>
      </w:divBdr>
    </w:div>
    <w:div w:id="1751807223">
      <w:bodyDiv w:val="1"/>
      <w:marLeft w:val="0"/>
      <w:marRight w:val="0"/>
      <w:marTop w:val="0"/>
      <w:marBottom w:val="0"/>
      <w:divBdr>
        <w:top w:val="none" w:sz="0" w:space="0" w:color="auto"/>
        <w:left w:val="none" w:sz="0" w:space="0" w:color="auto"/>
        <w:bottom w:val="none" w:sz="0" w:space="0" w:color="auto"/>
        <w:right w:val="none" w:sz="0" w:space="0" w:color="auto"/>
      </w:divBdr>
    </w:div>
    <w:div w:id="1845969835">
      <w:bodyDiv w:val="1"/>
      <w:marLeft w:val="0"/>
      <w:marRight w:val="0"/>
      <w:marTop w:val="0"/>
      <w:marBottom w:val="0"/>
      <w:divBdr>
        <w:top w:val="none" w:sz="0" w:space="0" w:color="auto"/>
        <w:left w:val="none" w:sz="0" w:space="0" w:color="auto"/>
        <w:bottom w:val="none" w:sz="0" w:space="0" w:color="auto"/>
        <w:right w:val="none" w:sz="0" w:space="0" w:color="auto"/>
      </w:divBdr>
    </w:div>
    <w:div w:id="1901093536">
      <w:bodyDiv w:val="1"/>
      <w:marLeft w:val="0"/>
      <w:marRight w:val="0"/>
      <w:marTop w:val="0"/>
      <w:marBottom w:val="0"/>
      <w:divBdr>
        <w:top w:val="none" w:sz="0" w:space="0" w:color="auto"/>
        <w:left w:val="none" w:sz="0" w:space="0" w:color="auto"/>
        <w:bottom w:val="none" w:sz="0" w:space="0" w:color="auto"/>
        <w:right w:val="none" w:sz="0" w:space="0" w:color="auto"/>
      </w:divBdr>
    </w:div>
    <w:div w:id="1913848842">
      <w:bodyDiv w:val="1"/>
      <w:marLeft w:val="0"/>
      <w:marRight w:val="0"/>
      <w:marTop w:val="0"/>
      <w:marBottom w:val="0"/>
      <w:divBdr>
        <w:top w:val="none" w:sz="0" w:space="0" w:color="auto"/>
        <w:left w:val="none" w:sz="0" w:space="0" w:color="auto"/>
        <w:bottom w:val="none" w:sz="0" w:space="0" w:color="auto"/>
        <w:right w:val="none" w:sz="0" w:space="0" w:color="auto"/>
      </w:divBdr>
    </w:div>
    <w:div w:id="1914462445">
      <w:bodyDiv w:val="1"/>
      <w:marLeft w:val="0"/>
      <w:marRight w:val="0"/>
      <w:marTop w:val="0"/>
      <w:marBottom w:val="0"/>
      <w:divBdr>
        <w:top w:val="none" w:sz="0" w:space="0" w:color="auto"/>
        <w:left w:val="none" w:sz="0" w:space="0" w:color="auto"/>
        <w:bottom w:val="none" w:sz="0" w:space="0" w:color="auto"/>
        <w:right w:val="none" w:sz="0" w:space="0" w:color="auto"/>
      </w:divBdr>
      <w:divsChild>
        <w:div w:id="1658992674">
          <w:marLeft w:val="0"/>
          <w:marRight w:val="0"/>
          <w:marTop w:val="0"/>
          <w:marBottom w:val="0"/>
          <w:divBdr>
            <w:top w:val="single" w:sz="2" w:space="0" w:color="E3E3E3"/>
            <w:left w:val="single" w:sz="2" w:space="0" w:color="E3E3E3"/>
            <w:bottom w:val="single" w:sz="2" w:space="0" w:color="E3E3E3"/>
            <w:right w:val="single" w:sz="2" w:space="0" w:color="E3E3E3"/>
          </w:divBdr>
          <w:divsChild>
            <w:div w:id="1046680233">
              <w:marLeft w:val="0"/>
              <w:marRight w:val="0"/>
              <w:marTop w:val="0"/>
              <w:marBottom w:val="0"/>
              <w:divBdr>
                <w:top w:val="single" w:sz="2" w:space="0" w:color="E3E3E3"/>
                <w:left w:val="single" w:sz="2" w:space="0" w:color="E3E3E3"/>
                <w:bottom w:val="single" w:sz="2" w:space="0" w:color="E3E3E3"/>
                <w:right w:val="single" w:sz="2" w:space="0" w:color="E3E3E3"/>
              </w:divBdr>
              <w:divsChild>
                <w:div w:id="1400327085">
                  <w:marLeft w:val="0"/>
                  <w:marRight w:val="0"/>
                  <w:marTop w:val="0"/>
                  <w:marBottom w:val="0"/>
                  <w:divBdr>
                    <w:top w:val="single" w:sz="2" w:space="0" w:color="E3E3E3"/>
                    <w:left w:val="single" w:sz="2" w:space="0" w:color="E3E3E3"/>
                    <w:bottom w:val="single" w:sz="2" w:space="0" w:color="E3E3E3"/>
                    <w:right w:val="single" w:sz="2" w:space="0" w:color="E3E3E3"/>
                  </w:divBdr>
                  <w:divsChild>
                    <w:div w:id="36860191">
                      <w:marLeft w:val="0"/>
                      <w:marRight w:val="0"/>
                      <w:marTop w:val="0"/>
                      <w:marBottom w:val="0"/>
                      <w:divBdr>
                        <w:top w:val="single" w:sz="2" w:space="0" w:color="E3E3E3"/>
                        <w:left w:val="single" w:sz="2" w:space="0" w:color="E3E3E3"/>
                        <w:bottom w:val="single" w:sz="2" w:space="0" w:color="E3E3E3"/>
                        <w:right w:val="single" w:sz="2" w:space="0" w:color="E3E3E3"/>
                      </w:divBdr>
                      <w:divsChild>
                        <w:div w:id="492989588">
                          <w:marLeft w:val="0"/>
                          <w:marRight w:val="0"/>
                          <w:marTop w:val="0"/>
                          <w:marBottom w:val="0"/>
                          <w:divBdr>
                            <w:top w:val="single" w:sz="2" w:space="0" w:color="E3E3E3"/>
                            <w:left w:val="single" w:sz="2" w:space="0" w:color="E3E3E3"/>
                            <w:bottom w:val="single" w:sz="2" w:space="0" w:color="E3E3E3"/>
                            <w:right w:val="single" w:sz="2" w:space="0" w:color="E3E3E3"/>
                          </w:divBdr>
                          <w:divsChild>
                            <w:div w:id="431708597">
                              <w:marLeft w:val="0"/>
                              <w:marRight w:val="0"/>
                              <w:marTop w:val="0"/>
                              <w:marBottom w:val="0"/>
                              <w:divBdr>
                                <w:top w:val="single" w:sz="2" w:space="0" w:color="E3E3E3"/>
                                <w:left w:val="single" w:sz="2" w:space="0" w:color="E3E3E3"/>
                                <w:bottom w:val="single" w:sz="2" w:space="0" w:color="E3E3E3"/>
                                <w:right w:val="single" w:sz="2" w:space="0" w:color="E3E3E3"/>
                              </w:divBdr>
                              <w:divsChild>
                                <w:div w:id="285090996">
                                  <w:marLeft w:val="0"/>
                                  <w:marRight w:val="0"/>
                                  <w:marTop w:val="100"/>
                                  <w:marBottom w:val="100"/>
                                  <w:divBdr>
                                    <w:top w:val="single" w:sz="2" w:space="0" w:color="E3E3E3"/>
                                    <w:left w:val="single" w:sz="2" w:space="0" w:color="E3E3E3"/>
                                    <w:bottom w:val="single" w:sz="2" w:space="0" w:color="E3E3E3"/>
                                    <w:right w:val="single" w:sz="2" w:space="0" w:color="E3E3E3"/>
                                  </w:divBdr>
                                  <w:divsChild>
                                    <w:div w:id="1278100185">
                                      <w:marLeft w:val="0"/>
                                      <w:marRight w:val="0"/>
                                      <w:marTop w:val="0"/>
                                      <w:marBottom w:val="0"/>
                                      <w:divBdr>
                                        <w:top w:val="single" w:sz="2" w:space="0" w:color="E3E3E3"/>
                                        <w:left w:val="single" w:sz="2" w:space="0" w:color="E3E3E3"/>
                                        <w:bottom w:val="single" w:sz="2" w:space="0" w:color="E3E3E3"/>
                                        <w:right w:val="single" w:sz="2" w:space="0" w:color="E3E3E3"/>
                                      </w:divBdr>
                                      <w:divsChild>
                                        <w:div w:id="1973553448">
                                          <w:marLeft w:val="0"/>
                                          <w:marRight w:val="0"/>
                                          <w:marTop w:val="0"/>
                                          <w:marBottom w:val="0"/>
                                          <w:divBdr>
                                            <w:top w:val="single" w:sz="2" w:space="0" w:color="E3E3E3"/>
                                            <w:left w:val="single" w:sz="2" w:space="0" w:color="E3E3E3"/>
                                            <w:bottom w:val="single" w:sz="2" w:space="0" w:color="E3E3E3"/>
                                            <w:right w:val="single" w:sz="2" w:space="0" w:color="E3E3E3"/>
                                          </w:divBdr>
                                          <w:divsChild>
                                            <w:div w:id="2075229019">
                                              <w:marLeft w:val="0"/>
                                              <w:marRight w:val="0"/>
                                              <w:marTop w:val="0"/>
                                              <w:marBottom w:val="0"/>
                                              <w:divBdr>
                                                <w:top w:val="single" w:sz="2" w:space="0" w:color="E3E3E3"/>
                                                <w:left w:val="single" w:sz="2" w:space="0" w:color="E3E3E3"/>
                                                <w:bottom w:val="single" w:sz="2" w:space="0" w:color="E3E3E3"/>
                                                <w:right w:val="single" w:sz="2" w:space="0" w:color="E3E3E3"/>
                                              </w:divBdr>
                                              <w:divsChild>
                                                <w:div w:id="1425956707">
                                                  <w:marLeft w:val="0"/>
                                                  <w:marRight w:val="0"/>
                                                  <w:marTop w:val="0"/>
                                                  <w:marBottom w:val="0"/>
                                                  <w:divBdr>
                                                    <w:top w:val="single" w:sz="2" w:space="0" w:color="E3E3E3"/>
                                                    <w:left w:val="single" w:sz="2" w:space="0" w:color="E3E3E3"/>
                                                    <w:bottom w:val="single" w:sz="2" w:space="0" w:color="E3E3E3"/>
                                                    <w:right w:val="single" w:sz="2" w:space="0" w:color="E3E3E3"/>
                                                  </w:divBdr>
                                                  <w:divsChild>
                                                    <w:div w:id="60637608">
                                                      <w:marLeft w:val="0"/>
                                                      <w:marRight w:val="0"/>
                                                      <w:marTop w:val="0"/>
                                                      <w:marBottom w:val="0"/>
                                                      <w:divBdr>
                                                        <w:top w:val="single" w:sz="2" w:space="0" w:color="E3E3E3"/>
                                                        <w:left w:val="single" w:sz="2" w:space="0" w:color="E3E3E3"/>
                                                        <w:bottom w:val="single" w:sz="2" w:space="0" w:color="E3E3E3"/>
                                                        <w:right w:val="single" w:sz="2" w:space="0" w:color="E3E3E3"/>
                                                      </w:divBdr>
                                                      <w:divsChild>
                                                        <w:div w:id="6169160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092045659">
          <w:marLeft w:val="0"/>
          <w:marRight w:val="0"/>
          <w:marTop w:val="0"/>
          <w:marBottom w:val="0"/>
          <w:divBdr>
            <w:top w:val="none" w:sz="0" w:space="0" w:color="auto"/>
            <w:left w:val="none" w:sz="0" w:space="0" w:color="auto"/>
            <w:bottom w:val="none" w:sz="0" w:space="0" w:color="auto"/>
            <w:right w:val="none" w:sz="0" w:space="0" w:color="auto"/>
          </w:divBdr>
          <w:divsChild>
            <w:div w:id="455487817">
              <w:marLeft w:val="0"/>
              <w:marRight w:val="0"/>
              <w:marTop w:val="100"/>
              <w:marBottom w:val="100"/>
              <w:divBdr>
                <w:top w:val="single" w:sz="2" w:space="0" w:color="E3E3E3"/>
                <w:left w:val="single" w:sz="2" w:space="0" w:color="E3E3E3"/>
                <w:bottom w:val="single" w:sz="2" w:space="0" w:color="E3E3E3"/>
                <w:right w:val="single" w:sz="2" w:space="0" w:color="E3E3E3"/>
              </w:divBdr>
              <w:divsChild>
                <w:div w:id="36414264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914855635">
      <w:bodyDiv w:val="1"/>
      <w:marLeft w:val="0"/>
      <w:marRight w:val="0"/>
      <w:marTop w:val="0"/>
      <w:marBottom w:val="0"/>
      <w:divBdr>
        <w:top w:val="none" w:sz="0" w:space="0" w:color="auto"/>
        <w:left w:val="none" w:sz="0" w:space="0" w:color="auto"/>
        <w:bottom w:val="none" w:sz="0" w:space="0" w:color="auto"/>
        <w:right w:val="none" w:sz="0" w:space="0" w:color="auto"/>
      </w:divBdr>
      <w:divsChild>
        <w:div w:id="76176400">
          <w:marLeft w:val="0"/>
          <w:marRight w:val="0"/>
          <w:marTop w:val="0"/>
          <w:marBottom w:val="0"/>
          <w:divBdr>
            <w:top w:val="none" w:sz="0" w:space="0" w:color="auto"/>
            <w:left w:val="none" w:sz="0" w:space="0" w:color="auto"/>
            <w:bottom w:val="none" w:sz="0" w:space="0" w:color="auto"/>
            <w:right w:val="none" w:sz="0" w:space="0" w:color="auto"/>
          </w:divBdr>
        </w:div>
      </w:divsChild>
    </w:div>
    <w:div w:id="1944871650">
      <w:bodyDiv w:val="1"/>
      <w:marLeft w:val="0"/>
      <w:marRight w:val="0"/>
      <w:marTop w:val="0"/>
      <w:marBottom w:val="0"/>
      <w:divBdr>
        <w:top w:val="none" w:sz="0" w:space="0" w:color="auto"/>
        <w:left w:val="none" w:sz="0" w:space="0" w:color="auto"/>
        <w:bottom w:val="none" w:sz="0" w:space="0" w:color="auto"/>
        <w:right w:val="none" w:sz="0" w:space="0" w:color="auto"/>
      </w:divBdr>
    </w:div>
    <w:div w:id="1956207426">
      <w:bodyDiv w:val="1"/>
      <w:marLeft w:val="0"/>
      <w:marRight w:val="0"/>
      <w:marTop w:val="0"/>
      <w:marBottom w:val="0"/>
      <w:divBdr>
        <w:top w:val="none" w:sz="0" w:space="0" w:color="auto"/>
        <w:left w:val="none" w:sz="0" w:space="0" w:color="auto"/>
        <w:bottom w:val="none" w:sz="0" w:space="0" w:color="auto"/>
        <w:right w:val="none" w:sz="0" w:space="0" w:color="auto"/>
      </w:divBdr>
    </w:div>
    <w:div w:id="1972706448">
      <w:bodyDiv w:val="1"/>
      <w:marLeft w:val="0"/>
      <w:marRight w:val="0"/>
      <w:marTop w:val="0"/>
      <w:marBottom w:val="0"/>
      <w:divBdr>
        <w:top w:val="none" w:sz="0" w:space="0" w:color="auto"/>
        <w:left w:val="none" w:sz="0" w:space="0" w:color="auto"/>
        <w:bottom w:val="none" w:sz="0" w:space="0" w:color="auto"/>
        <w:right w:val="none" w:sz="0" w:space="0" w:color="auto"/>
      </w:divBdr>
    </w:div>
    <w:div w:id="2031642667">
      <w:bodyDiv w:val="1"/>
      <w:marLeft w:val="0"/>
      <w:marRight w:val="0"/>
      <w:marTop w:val="0"/>
      <w:marBottom w:val="0"/>
      <w:divBdr>
        <w:top w:val="none" w:sz="0" w:space="0" w:color="auto"/>
        <w:left w:val="none" w:sz="0" w:space="0" w:color="auto"/>
        <w:bottom w:val="none" w:sz="0" w:space="0" w:color="auto"/>
        <w:right w:val="none" w:sz="0" w:space="0" w:color="auto"/>
      </w:divBdr>
    </w:div>
    <w:div w:id="2035689302">
      <w:bodyDiv w:val="1"/>
      <w:marLeft w:val="0"/>
      <w:marRight w:val="0"/>
      <w:marTop w:val="0"/>
      <w:marBottom w:val="0"/>
      <w:divBdr>
        <w:top w:val="none" w:sz="0" w:space="0" w:color="auto"/>
        <w:left w:val="none" w:sz="0" w:space="0" w:color="auto"/>
        <w:bottom w:val="none" w:sz="0" w:space="0" w:color="auto"/>
        <w:right w:val="none" w:sz="0" w:space="0" w:color="auto"/>
      </w:divBdr>
    </w:div>
    <w:div w:id="2053721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aws.boe.gov.sa/BoeLaws/Laws/LawDetails/4763eb94-047b-46f1-9697-a9a700f1b7ed/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342D59-45F8-4BCF-AC64-91C4E11E6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1096</TotalTime>
  <Pages>100</Pages>
  <Words>12539</Words>
  <Characters>71476</Characters>
  <Application>Microsoft Office Word</Application>
  <DocSecurity>0</DocSecurity>
  <Lines>595</Lines>
  <Paragraphs>167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Hamzeh Ibrahim J. AL WAHSH</dc:creator>
  <cp:keywords/>
  <dc:description/>
  <cp:lastModifiedBy>أ.د الخاتم عبد الرحمن</cp:lastModifiedBy>
  <cp:revision>128</cp:revision>
  <cp:lastPrinted>2024-09-13T16:45:00Z</cp:lastPrinted>
  <dcterms:created xsi:type="dcterms:W3CDTF">2024-06-10T15:40:00Z</dcterms:created>
  <dcterms:modified xsi:type="dcterms:W3CDTF">2024-11-02T07:38:00Z</dcterms:modified>
</cp:coreProperties>
</file>